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6AB2" w14:textId="77777777" w:rsidR="007C6504" w:rsidRDefault="007C6504" w:rsidP="00D011F1">
      <w:pPr>
        <w:pStyle w:val="Title"/>
        <w:jc w:val="left"/>
        <w:rPr>
          <w:lang w:val="en-GB"/>
        </w:rPr>
      </w:pPr>
    </w:p>
    <w:p w14:paraId="1FB8A09A" w14:textId="5E6CFF71" w:rsidR="00BE0B65" w:rsidRPr="0014598A" w:rsidRDefault="00543B17" w:rsidP="00D011F1">
      <w:pPr>
        <w:pStyle w:val="Title"/>
        <w:jc w:val="left"/>
        <w:rPr>
          <w:lang w:val="en-GB"/>
        </w:rPr>
      </w:pPr>
      <w:r w:rsidRPr="0014598A">
        <w:rPr>
          <w:lang w:val="en-GB"/>
        </w:rPr>
        <w:t xml:space="preserve">Guidance </w:t>
      </w:r>
      <w:r w:rsidR="00D011F1">
        <w:rPr>
          <w:lang w:val="en-GB"/>
        </w:rPr>
        <w:t xml:space="preserve">Note on </w:t>
      </w:r>
      <w:r w:rsidRPr="0014598A">
        <w:rPr>
          <w:lang w:val="en-GB"/>
        </w:rPr>
        <w:br/>
        <w:t>AAMVS Self-Assessment Tool</w:t>
      </w:r>
    </w:p>
    <w:p w14:paraId="5CC90BF0" w14:textId="160B3E91" w:rsidR="005A63D0" w:rsidRPr="0014598A" w:rsidRDefault="003C1F94" w:rsidP="005A63D0">
      <w:pPr>
        <w:jc w:val="right"/>
        <w:rPr>
          <w:lang w:val="en-GB"/>
        </w:rPr>
      </w:pPr>
      <w:r>
        <w:rPr>
          <w:lang w:val="en-GB"/>
        </w:rPr>
        <w:t xml:space="preserve">1 June </w:t>
      </w:r>
      <w:r w:rsidR="007F7A3C">
        <w:rPr>
          <w:lang w:val="en-GB"/>
        </w:rPr>
        <w:t>2026</w:t>
      </w:r>
    </w:p>
    <w:p w14:paraId="08F5FD14" w14:textId="4BDD3F3D" w:rsidR="00BE0B65" w:rsidRPr="009774E8" w:rsidRDefault="00543B17" w:rsidP="00B77943">
      <w:pPr>
        <w:pStyle w:val="Heading1"/>
        <w:spacing w:before="240"/>
      </w:pPr>
      <w:r w:rsidRPr="009774E8">
        <w:t>Introduction</w:t>
      </w:r>
    </w:p>
    <w:p w14:paraId="5FFAA688" w14:textId="450CA5A6" w:rsidR="00BE0B65" w:rsidRPr="00567F84" w:rsidRDefault="00543B17" w:rsidP="000F6EBA">
      <w:pPr>
        <w:pStyle w:val="Heading2"/>
        <w:rPr>
          <w:color w:val="95B3D7" w:themeColor="accent1" w:themeTint="99"/>
          <w:lang w:val="en-GB"/>
        </w:rPr>
      </w:pPr>
      <w:r w:rsidRPr="00567F84">
        <w:rPr>
          <w:color w:val="95B3D7" w:themeColor="accent1" w:themeTint="99"/>
          <w:lang w:val="en-GB"/>
        </w:rPr>
        <w:t xml:space="preserve">1.1 Purpose of this </w:t>
      </w:r>
      <w:r w:rsidR="00D011F1" w:rsidRPr="00567F84">
        <w:rPr>
          <w:color w:val="95B3D7" w:themeColor="accent1" w:themeTint="99"/>
          <w:lang w:val="en-GB"/>
        </w:rPr>
        <w:t>guidance note</w:t>
      </w:r>
    </w:p>
    <w:p w14:paraId="0AB83D6E" w14:textId="77777777" w:rsidR="00504F7C" w:rsidRPr="00D248D0" w:rsidRDefault="00D011F1" w:rsidP="00504F7C">
      <w:pPr>
        <w:pStyle w:val="Heading2"/>
        <w:rPr>
          <w:rFonts w:ascii="Arial Nova" w:hAnsi="Arial Nova" w:cstheme="minorBidi"/>
          <w:sz w:val="22"/>
          <w:szCs w:val="22"/>
          <w:lang w:val="en-GB"/>
        </w:rPr>
      </w:pPr>
      <w:r w:rsidRPr="00D011F1">
        <w:rPr>
          <w:rFonts w:ascii="Arial Nova" w:eastAsiaTheme="minorEastAsia" w:hAnsi="Arial Nova" w:cstheme="minorBidi"/>
          <w:b w:val="0"/>
          <w:bCs w:val="0"/>
          <w:color w:val="auto"/>
          <w:sz w:val="22"/>
          <w:szCs w:val="22"/>
          <w:lang w:val="en-GB"/>
        </w:rPr>
        <w:t xml:space="preserve">The purpose of this guidance note is to help </w:t>
      </w:r>
      <w:r>
        <w:rPr>
          <w:rFonts w:ascii="Arial Nova" w:eastAsiaTheme="minorEastAsia" w:hAnsi="Arial Nova" w:cstheme="minorBidi"/>
          <w:b w:val="0"/>
          <w:bCs w:val="0"/>
          <w:color w:val="auto"/>
          <w:sz w:val="22"/>
          <w:szCs w:val="22"/>
          <w:lang w:val="en-GB"/>
        </w:rPr>
        <w:t xml:space="preserve">users </w:t>
      </w:r>
      <w:r w:rsidR="00792031">
        <w:rPr>
          <w:rFonts w:ascii="Arial Nova" w:eastAsiaTheme="minorEastAsia" w:hAnsi="Arial Nova" w:cstheme="minorBidi"/>
          <w:b w:val="0"/>
          <w:bCs w:val="0"/>
          <w:color w:val="auto"/>
          <w:sz w:val="22"/>
          <w:szCs w:val="22"/>
          <w:lang w:val="en-GB"/>
        </w:rPr>
        <w:t xml:space="preserve">operate </w:t>
      </w:r>
      <w:r w:rsidRPr="00D011F1">
        <w:rPr>
          <w:rFonts w:ascii="Arial Nova" w:eastAsiaTheme="minorEastAsia" w:hAnsi="Arial Nova" w:cstheme="minorBidi"/>
          <w:b w:val="0"/>
          <w:bCs w:val="0"/>
          <w:color w:val="auto"/>
          <w:sz w:val="22"/>
          <w:szCs w:val="22"/>
          <w:lang w:val="en-GB"/>
        </w:rPr>
        <w:t xml:space="preserve">the </w:t>
      </w:r>
      <w:r w:rsidR="00E559E7" w:rsidRPr="00E559E7">
        <w:rPr>
          <w:rFonts w:ascii="Arial Nova" w:eastAsiaTheme="minorEastAsia" w:hAnsi="Arial Nova" w:cstheme="minorBidi"/>
          <w:b w:val="0"/>
          <w:bCs w:val="0"/>
          <w:color w:val="auto"/>
          <w:sz w:val="22"/>
          <w:szCs w:val="22"/>
          <w:lang w:val="en-GB"/>
        </w:rPr>
        <w:t xml:space="preserve">Arms and Ammunition Management Validation System </w:t>
      </w:r>
      <w:r w:rsidR="00E559E7">
        <w:rPr>
          <w:rFonts w:ascii="Arial Nova" w:eastAsiaTheme="minorEastAsia" w:hAnsi="Arial Nova" w:cstheme="minorBidi"/>
          <w:b w:val="0"/>
          <w:bCs w:val="0"/>
          <w:color w:val="auto"/>
          <w:sz w:val="22"/>
          <w:szCs w:val="22"/>
          <w:lang w:val="en-GB"/>
        </w:rPr>
        <w:t>(</w:t>
      </w:r>
      <w:r w:rsidRPr="00D011F1">
        <w:rPr>
          <w:rFonts w:ascii="Arial Nova" w:eastAsiaTheme="minorEastAsia" w:hAnsi="Arial Nova" w:cstheme="minorBidi"/>
          <w:b w:val="0"/>
          <w:bCs w:val="0"/>
          <w:color w:val="auto"/>
          <w:sz w:val="22"/>
          <w:szCs w:val="22"/>
          <w:lang w:val="en-GB"/>
        </w:rPr>
        <w:t>AAMVS</w:t>
      </w:r>
      <w:r w:rsidR="00E559E7">
        <w:rPr>
          <w:rFonts w:ascii="Arial Nova" w:eastAsiaTheme="minorEastAsia" w:hAnsi="Arial Nova" w:cstheme="minorBidi"/>
          <w:b w:val="0"/>
          <w:bCs w:val="0"/>
          <w:color w:val="auto"/>
          <w:sz w:val="22"/>
          <w:szCs w:val="22"/>
          <w:lang w:val="en-GB"/>
        </w:rPr>
        <w:t>)</w:t>
      </w:r>
      <w:r w:rsidRPr="00D011F1">
        <w:rPr>
          <w:rFonts w:ascii="Arial Nova" w:eastAsiaTheme="minorEastAsia" w:hAnsi="Arial Nova" w:cstheme="minorBidi"/>
          <w:b w:val="0"/>
          <w:bCs w:val="0"/>
          <w:color w:val="auto"/>
          <w:sz w:val="22"/>
          <w:szCs w:val="22"/>
          <w:lang w:val="en-GB"/>
        </w:rPr>
        <w:t xml:space="preserve"> </w:t>
      </w:r>
      <w:r w:rsidR="00E559E7">
        <w:rPr>
          <w:rFonts w:ascii="Arial Nova" w:eastAsiaTheme="minorEastAsia" w:hAnsi="Arial Nova" w:cstheme="minorBidi"/>
          <w:b w:val="0"/>
          <w:bCs w:val="0"/>
          <w:color w:val="auto"/>
          <w:sz w:val="22"/>
          <w:szCs w:val="22"/>
          <w:lang w:val="en-GB"/>
        </w:rPr>
        <w:t xml:space="preserve">self-assessment </w:t>
      </w:r>
      <w:r w:rsidRPr="00D011F1">
        <w:rPr>
          <w:rFonts w:ascii="Arial Nova" w:eastAsiaTheme="minorEastAsia" w:hAnsi="Arial Nova" w:cstheme="minorBidi"/>
          <w:b w:val="0"/>
          <w:bCs w:val="0"/>
          <w:color w:val="auto"/>
          <w:sz w:val="22"/>
          <w:szCs w:val="22"/>
          <w:lang w:val="en-GB"/>
        </w:rPr>
        <w:t xml:space="preserve">tool in a consistent, informed and practical way, and to support the interpretation of its results. </w:t>
      </w:r>
      <w:r w:rsidR="00504F7C" w:rsidRPr="00D248D0">
        <w:rPr>
          <w:rFonts w:ascii="Arial Nova" w:eastAsiaTheme="minorEastAsia" w:hAnsi="Arial Nova" w:cstheme="minorBidi"/>
          <w:b w:val="0"/>
          <w:bCs w:val="0"/>
          <w:color w:val="auto"/>
          <w:sz w:val="22"/>
          <w:szCs w:val="22"/>
          <w:lang w:val="en-GB"/>
        </w:rPr>
        <w:t>It outlines the intended users of the tool, provides guidance on organising the process for completing the questionnaire, explains the structure of the functional sections and the scoring methodology, and supports the interpretation of scores and visual outputs for the purposes of planning, export control, and capacity development.</w:t>
      </w:r>
    </w:p>
    <w:p w14:paraId="4BA511E6" w14:textId="13226E85" w:rsidR="00D011F1" w:rsidRPr="00D011F1" w:rsidRDefault="00D011F1" w:rsidP="00D011F1">
      <w:pPr>
        <w:pStyle w:val="Heading2"/>
        <w:rPr>
          <w:rFonts w:ascii="Arial Nova" w:eastAsiaTheme="minorEastAsia" w:hAnsi="Arial Nova" w:cstheme="minorBidi"/>
          <w:b w:val="0"/>
          <w:bCs w:val="0"/>
          <w:color w:val="auto"/>
          <w:sz w:val="22"/>
          <w:szCs w:val="22"/>
          <w:lang w:val="en-GB"/>
        </w:rPr>
      </w:pPr>
    </w:p>
    <w:p w14:paraId="4A82C750" w14:textId="5509CBCD" w:rsidR="004E13DE" w:rsidRDefault="00D011F1" w:rsidP="00016495">
      <w:pPr>
        <w:pStyle w:val="Heading2"/>
        <w:rPr>
          <w:rFonts w:ascii="Arial Nova" w:eastAsiaTheme="minorEastAsia" w:hAnsi="Arial Nova" w:cstheme="minorBidi"/>
          <w:b w:val="0"/>
          <w:bCs w:val="0"/>
          <w:color w:val="auto"/>
          <w:sz w:val="22"/>
          <w:szCs w:val="22"/>
          <w:lang w:val="en-GB"/>
        </w:rPr>
      </w:pPr>
      <w:r w:rsidRPr="00D011F1">
        <w:rPr>
          <w:rFonts w:ascii="Arial Nova" w:eastAsiaTheme="minorEastAsia" w:hAnsi="Arial Nova" w:cstheme="minorBidi"/>
          <w:b w:val="0"/>
          <w:bCs w:val="0"/>
          <w:color w:val="auto"/>
          <w:sz w:val="22"/>
          <w:szCs w:val="22"/>
          <w:lang w:val="en-GB"/>
        </w:rPr>
        <w:t xml:space="preserve">The guidance note </w:t>
      </w:r>
      <w:r>
        <w:rPr>
          <w:rFonts w:ascii="Arial Nova" w:eastAsiaTheme="minorEastAsia" w:hAnsi="Arial Nova" w:cstheme="minorBidi"/>
          <w:b w:val="0"/>
          <w:bCs w:val="0"/>
          <w:color w:val="auto"/>
          <w:sz w:val="22"/>
          <w:szCs w:val="22"/>
          <w:lang w:val="en-GB"/>
        </w:rPr>
        <w:t>does</w:t>
      </w:r>
      <w:r w:rsidRPr="00D011F1">
        <w:rPr>
          <w:rFonts w:ascii="Arial Nova" w:eastAsiaTheme="minorEastAsia" w:hAnsi="Arial Nova" w:cstheme="minorBidi"/>
          <w:b w:val="0"/>
          <w:bCs w:val="0"/>
          <w:color w:val="auto"/>
          <w:sz w:val="22"/>
          <w:szCs w:val="22"/>
          <w:lang w:val="en-GB"/>
        </w:rPr>
        <w:t xml:space="preserve"> not </w:t>
      </w:r>
      <w:r>
        <w:rPr>
          <w:rFonts w:ascii="Arial Nova" w:eastAsiaTheme="minorEastAsia" w:hAnsi="Arial Nova" w:cstheme="minorBidi"/>
          <w:b w:val="0"/>
          <w:bCs w:val="0"/>
          <w:color w:val="auto"/>
          <w:sz w:val="22"/>
          <w:szCs w:val="22"/>
          <w:lang w:val="en-GB"/>
        </w:rPr>
        <w:t>set</w:t>
      </w:r>
      <w:r w:rsidRPr="00D011F1">
        <w:rPr>
          <w:rFonts w:ascii="Arial Nova" w:eastAsiaTheme="minorEastAsia" w:hAnsi="Arial Nova" w:cstheme="minorBidi"/>
          <w:b w:val="0"/>
          <w:bCs w:val="0"/>
          <w:color w:val="auto"/>
          <w:sz w:val="22"/>
          <w:szCs w:val="22"/>
          <w:lang w:val="en-GB"/>
        </w:rPr>
        <w:t xml:space="preserve"> standard</w:t>
      </w:r>
      <w:r>
        <w:rPr>
          <w:rFonts w:ascii="Arial Nova" w:eastAsiaTheme="minorEastAsia" w:hAnsi="Arial Nova" w:cstheme="minorBidi"/>
          <w:b w:val="0"/>
          <w:bCs w:val="0"/>
          <w:color w:val="auto"/>
          <w:sz w:val="22"/>
          <w:szCs w:val="22"/>
          <w:lang w:val="en-GB"/>
        </w:rPr>
        <w:t>s</w:t>
      </w:r>
      <w:r w:rsidR="00504F7C">
        <w:rPr>
          <w:rFonts w:ascii="Arial Nova" w:eastAsiaTheme="minorEastAsia" w:hAnsi="Arial Nova" w:cstheme="minorBidi"/>
          <w:b w:val="0"/>
          <w:bCs w:val="0"/>
          <w:color w:val="auto"/>
          <w:sz w:val="22"/>
          <w:szCs w:val="22"/>
          <w:lang w:val="en-GB"/>
        </w:rPr>
        <w:t xml:space="preserve">, nor does it prescribe </w:t>
      </w:r>
      <w:r w:rsidRPr="00D011F1">
        <w:rPr>
          <w:rFonts w:ascii="Arial Nova" w:eastAsiaTheme="minorEastAsia" w:hAnsi="Arial Nova" w:cstheme="minorBidi"/>
          <w:b w:val="0"/>
          <w:bCs w:val="0"/>
          <w:color w:val="auto"/>
          <w:sz w:val="22"/>
          <w:szCs w:val="22"/>
          <w:lang w:val="en-GB"/>
        </w:rPr>
        <w:t>minimum thresholds or pass</w:t>
      </w:r>
      <w:r w:rsidR="001536E3">
        <w:rPr>
          <w:rFonts w:ascii="Arial Nova" w:eastAsiaTheme="minorEastAsia" w:hAnsi="Arial Nova" w:cstheme="minorBidi"/>
          <w:b w:val="0"/>
          <w:bCs w:val="0"/>
          <w:color w:val="auto"/>
          <w:sz w:val="22"/>
          <w:szCs w:val="22"/>
          <w:lang w:val="en-GB"/>
        </w:rPr>
        <w:t xml:space="preserve"> marks</w:t>
      </w:r>
      <w:r w:rsidRPr="00D011F1">
        <w:rPr>
          <w:rFonts w:ascii="Arial Nova" w:eastAsiaTheme="minorEastAsia" w:hAnsi="Arial Nova" w:cstheme="minorBidi"/>
          <w:b w:val="0"/>
          <w:bCs w:val="0"/>
          <w:color w:val="auto"/>
          <w:sz w:val="22"/>
          <w:szCs w:val="22"/>
          <w:lang w:val="en-GB"/>
        </w:rPr>
        <w:t>. Instead, it clarifies how</w:t>
      </w:r>
      <w:r w:rsidR="004E13DE">
        <w:rPr>
          <w:rFonts w:ascii="Arial Nova" w:eastAsiaTheme="minorEastAsia" w:hAnsi="Arial Nova" w:cstheme="minorBidi"/>
          <w:b w:val="0"/>
          <w:bCs w:val="0"/>
          <w:color w:val="auto"/>
          <w:sz w:val="22"/>
          <w:szCs w:val="22"/>
          <w:lang w:val="en-GB"/>
        </w:rPr>
        <w:t>:</w:t>
      </w:r>
    </w:p>
    <w:p w14:paraId="32388720" w14:textId="73DC4E89" w:rsidR="004E13DE" w:rsidRDefault="00D011F1" w:rsidP="004E13DE">
      <w:pPr>
        <w:pStyle w:val="Heading2"/>
        <w:numPr>
          <w:ilvl w:val="0"/>
          <w:numId w:val="26"/>
        </w:numPr>
        <w:rPr>
          <w:rFonts w:ascii="Arial Nova" w:eastAsiaTheme="minorEastAsia" w:hAnsi="Arial Nova" w:cstheme="minorBidi"/>
          <w:b w:val="0"/>
          <w:bCs w:val="0"/>
          <w:color w:val="auto"/>
          <w:sz w:val="22"/>
          <w:szCs w:val="22"/>
          <w:lang w:val="en-GB"/>
        </w:rPr>
      </w:pPr>
      <w:r w:rsidRPr="00D011F1">
        <w:rPr>
          <w:rFonts w:ascii="Arial Nova" w:eastAsiaTheme="minorEastAsia" w:hAnsi="Arial Nova" w:cstheme="minorBidi"/>
          <w:b w:val="0"/>
          <w:bCs w:val="0"/>
          <w:color w:val="auto"/>
          <w:sz w:val="22"/>
          <w:szCs w:val="22"/>
          <w:lang w:val="en-GB"/>
        </w:rPr>
        <w:t xml:space="preserve">AAMVS operationalises existing </w:t>
      </w:r>
      <w:r w:rsidR="00F17020">
        <w:rPr>
          <w:rFonts w:ascii="Arial Nova" w:eastAsiaTheme="minorEastAsia" w:hAnsi="Arial Nova" w:cstheme="minorBidi"/>
          <w:b w:val="0"/>
          <w:bCs w:val="0"/>
          <w:color w:val="auto"/>
          <w:sz w:val="22"/>
          <w:szCs w:val="22"/>
          <w:lang w:val="en-GB"/>
        </w:rPr>
        <w:t xml:space="preserve">recognized </w:t>
      </w:r>
      <w:r w:rsidRPr="00D011F1">
        <w:rPr>
          <w:rFonts w:ascii="Arial Nova" w:eastAsiaTheme="minorEastAsia" w:hAnsi="Arial Nova" w:cstheme="minorBidi"/>
          <w:b w:val="0"/>
          <w:bCs w:val="0"/>
          <w:color w:val="auto"/>
          <w:sz w:val="22"/>
          <w:szCs w:val="22"/>
          <w:lang w:val="en-GB"/>
        </w:rPr>
        <w:t xml:space="preserve">international </w:t>
      </w:r>
      <w:r w:rsidR="00504F7C">
        <w:rPr>
          <w:rFonts w:ascii="Arial Nova" w:eastAsiaTheme="minorEastAsia" w:hAnsi="Arial Nova" w:cstheme="minorBidi"/>
          <w:b w:val="0"/>
          <w:bCs w:val="0"/>
          <w:color w:val="auto"/>
          <w:sz w:val="22"/>
          <w:szCs w:val="22"/>
          <w:lang w:val="en-GB"/>
        </w:rPr>
        <w:t xml:space="preserve">good </w:t>
      </w:r>
      <w:r w:rsidR="00F17020">
        <w:rPr>
          <w:rFonts w:ascii="Arial Nova" w:eastAsiaTheme="minorEastAsia" w:hAnsi="Arial Nova" w:cstheme="minorBidi"/>
          <w:b w:val="0"/>
          <w:bCs w:val="0"/>
          <w:color w:val="auto"/>
          <w:sz w:val="22"/>
          <w:szCs w:val="22"/>
          <w:lang w:val="en-GB"/>
        </w:rPr>
        <w:t>practices in arms and ammunition management, specifically</w:t>
      </w:r>
      <w:r w:rsidR="00A15421">
        <w:rPr>
          <w:rFonts w:ascii="Arial Nova" w:eastAsiaTheme="minorEastAsia" w:hAnsi="Arial Nova" w:cstheme="minorBidi"/>
          <w:b w:val="0"/>
          <w:bCs w:val="0"/>
          <w:color w:val="auto"/>
          <w:sz w:val="22"/>
          <w:szCs w:val="22"/>
          <w:lang w:val="en-GB"/>
        </w:rPr>
        <w:t xml:space="preserve"> </w:t>
      </w:r>
      <w:r w:rsidR="00016495">
        <w:rPr>
          <w:rFonts w:ascii="Arial Nova" w:eastAsiaTheme="minorEastAsia" w:hAnsi="Arial Nova" w:cstheme="minorBidi"/>
          <w:b w:val="0"/>
          <w:bCs w:val="0"/>
          <w:color w:val="auto"/>
          <w:sz w:val="22"/>
          <w:szCs w:val="22"/>
          <w:lang w:val="en-GB"/>
        </w:rPr>
        <w:t>the International Amm</w:t>
      </w:r>
      <w:r w:rsidR="008B5C46">
        <w:rPr>
          <w:rFonts w:ascii="Arial Nova" w:eastAsiaTheme="minorEastAsia" w:hAnsi="Arial Nova" w:cstheme="minorBidi"/>
          <w:b w:val="0"/>
          <w:bCs w:val="0"/>
          <w:color w:val="auto"/>
          <w:sz w:val="22"/>
          <w:szCs w:val="22"/>
          <w:lang w:val="en-GB"/>
        </w:rPr>
        <w:t>unition Technical Guidelines (</w:t>
      </w:r>
      <w:r w:rsidRPr="00D011F1">
        <w:rPr>
          <w:rFonts w:ascii="Arial Nova" w:eastAsiaTheme="minorEastAsia" w:hAnsi="Arial Nova" w:cstheme="minorBidi"/>
          <w:b w:val="0"/>
          <w:bCs w:val="0"/>
          <w:color w:val="auto"/>
          <w:sz w:val="22"/>
          <w:szCs w:val="22"/>
          <w:lang w:val="en-GB"/>
        </w:rPr>
        <w:t>IATG</w:t>
      </w:r>
      <w:r w:rsidR="008B5C46">
        <w:rPr>
          <w:rFonts w:ascii="Arial Nova" w:eastAsiaTheme="minorEastAsia" w:hAnsi="Arial Nova" w:cstheme="minorBidi"/>
          <w:b w:val="0"/>
          <w:bCs w:val="0"/>
          <w:color w:val="auto"/>
          <w:sz w:val="22"/>
          <w:szCs w:val="22"/>
          <w:lang w:val="en-GB"/>
        </w:rPr>
        <w:t>)</w:t>
      </w:r>
      <w:r w:rsidR="00F17020">
        <w:rPr>
          <w:rFonts w:ascii="Arial Nova" w:eastAsiaTheme="minorEastAsia" w:hAnsi="Arial Nova" w:cstheme="minorBidi"/>
          <w:b w:val="0"/>
          <w:bCs w:val="0"/>
          <w:color w:val="auto"/>
          <w:sz w:val="22"/>
          <w:szCs w:val="22"/>
          <w:lang w:val="en-GB"/>
        </w:rPr>
        <w:t xml:space="preserve"> and</w:t>
      </w:r>
      <w:r w:rsidR="000E7409">
        <w:rPr>
          <w:rFonts w:ascii="Arial Nova" w:eastAsiaTheme="minorEastAsia" w:hAnsi="Arial Nova" w:cstheme="minorBidi"/>
          <w:b w:val="0"/>
          <w:bCs w:val="0"/>
          <w:color w:val="auto"/>
          <w:sz w:val="22"/>
          <w:szCs w:val="22"/>
          <w:lang w:val="en-GB"/>
        </w:rPr>
        <w:t xml:space="preserve"> </w:t>
      </w:r>
      <w:r w:rsidR="00016495">
        <w:rPr>
          <w:rFonts w:ascii="Arial Nova" w:eastAsiaTheme="minorEastAsia" w:hAnsi="Arial Nova" w:cstheme="minorBidi"/>
          <w:b w:val="0"/>
          <w:bCs w:val="0"/>
          <w:color w:val="auto"/>
          <w:sz w:val="22"/>
          <w:szCs w:val="22"/>
          <w:lang w:val="en-GB"/>
        </w:rPr>
        <w:t xml:space="preserve">the </w:t>
      </w:r>
      <w:r w:rsidR="00016495" w:rsidRPr="00016495">
        <w:rPr>
          <w:rFonts w:ascii="Arial Nova" w:eastAsiaTheme="minorEastAsia" w:hAnsi="Arial Nova" w:cstheme="minorBidi"/>
          <w:b w:val="0"/>
          <w:bCs w:val="0"/>
          <w:color w:val="auto"/>
          <w:sz w:val="22"/>
          <w:szCs w:val="22"/>
          <w:lang w:val="en-GB"/>
        </w:rPr>
        <w:t>Modular Small</w:t>
      </w:r>
      <w:r w:rsidR="00016495" w:rsidRPr="00016495">
        <w:rPr>
          <w:rFonts w:ascii="Cambria Math" w:eastAsiaTheme="minorEastAsia" w:hAnsi="Cambria Math" w:cs="Cambria Math"/>
          <w:b w:val="0"/>
          <w:bCs w:val="0"/>
          <w:color w:val="auto"/>
          <w:sz w:val="22"/>
          <w:szCs w:val="22"/>
          <w:lang w:val="en-GB"/>
        </w:rPr>
        <w:t>‑</w:t>
      </w:r>
      <w:r w:rsidR="00016495" w:rsidRPr="00016495">
        <w:rPr>
          <w:rFonts w:ascii="Arial Nova" w:eastAsiaTheme="minorEastAsia" w:hAnsi="Arial Nova" w:cstheme="minorBidi"/>
          <w:b w:val="0"/>
          <w:bCs w:val="0"/>
          <w:color w:val="auto"/>
          <w:sz w:val="22"/>
          <w:szCs w:val="22"/>
          <w:lang w:val="en-GB"/>
        </w:rPr>
        <w:t>Arms</w:t>
      </w:r>
      <w:r w:rsidR="00016495" w:rsidRPr="00016495">
        <w:rPr>
          <w:rFonts w:ascii="Cambria Math" w:eastAsiaTheme="minorEastAsia" w:hAnsi="Cambria Math" w:cs="Cambria Math"/>
          <w:b w:val="0"/>
          <w:bCs w:val="0"/>
          <w:color w:val="auto"/>
          <w:sz w:val="22"/>
          <w:szCs w:val="22"/>
          <w:lang w:val="en-GB"/>
        </w:rPr>
        <w:t>‑</w:t>
      </w:r>
      <w:r w:rsidR="00016495" w:rsidRPr="00016495">
        <w:rPr>
          <w:rFonts w:ascii="Arial Nova" w:eastAsiaTheme="minorEastAsia" w:hAnsi="Arial Nova" w:cstheme="minorBidi"/>
          <w:b w:val="0"/>
          <w:bCs w:val="0"/>
          <w:color w:val="auto"/>
          <w:sz w:val="22"/>
          <w:szCs w:val="22"/>
          <w:lang w:val="en-GB"/>
        </w:rPr>
        <w:t>control Implementation Compendium</w:t>
      </w:r>
      <w:r w:rsidR="00016495">
        <w:rPr>
          <w:rFonts w:ascii="Arial Nova" w:eastAsiaTheme="minorEastAsia" w:hAnsi="Arial Nova" w:cstheme="minorBidi"/>
          <w:b w:val="0"/>
          <w:bCs w:val="0"/>
          <w:color w:val="auto"/>
          <w:sz w:val="22"/>
          <w:szCs w:val="22"/>
          <w:lang w:val="en-GB"/>
        </w:rPr>
        <w:t xml:space="preserve"> (</w:t>
      </w:r>
      <w:r w:rsidRPr="00D011F1">
        <w:rPr>
          <w:rFonts w:ascii="Arial Nova" w:eastAsiaTheme="minorEastAsia" w:hAnsi="Arial Nova" w:cstheme="minorBidi"/>
          <w:b w:val="0"/>
          <w:bCs w:val="0"/>
          <w:color w:val="auto"/>
          <w:sz w:val="22"/>
          <w:szCs w:val="22"/>
          <w:lang w:val="en-GB"/>
        </w:rPr>
        <w:t>MOSAI</w:t>
      </w:r>
      <w:r w:rsidR="00F17020">
        <w:rPr>
          <w:rFonts w:ascii="Arial Nova" w:eastAsiaTheme="minorEastAsia" w:hAnsi="Arial Nova" w:cstheme="minorBidi"/>
          <w:b w:val="0"/>
          <w:bCs w:val="0"/>
          <w:color w:val="auto"/>
          <w:sz w:val="22"/>
          <w:szCs w:val="22"/>
          <w:lang w:val="en-GB"/>
        </w:rPr>
        <w:t>C)</w:t>
      </w:r>
      <w:r w:rsidR="004E13DE">
        <w:rPr>
          <w:rFonts w:ascii="Arial Nova" w:eastAsiaTheme="minorEastAsia" w:hAnsi="Arial Nova" w:cstheme="minorBidi"/>
          <w:b w:val="0"/>
          <w:bCs w:val="0"/>
          <w:color w:val="auto"/>
          <w:sz w:val="22"/>
          <w:szCs w:val="22"/>
          <w:lang w:val="en-GB"/>
        </w:rPr>
        <w:t>.</w:t>
      </w:r>
    </w:p>
    <w:p w14:paraId="03E3C0EC" w14:textId="279D8D95" w:rsidR="004E13DE" w:rsidRDefault="004E13DE" w:rsidP="004E13DE">
      <w:pPr>
        <w:pStyle w:val="Heading2"/>
        <w:numPr>
          <w:ilvl w:val="0"/>
          <w:numId w:val="26"/>
        </w:numPr>
        <w:rPr>
          <w:rFonts w:ascii="Arial Nova" w:eastAsiaTheme="minorEastAsia" w:hAnsi="Arial Nova" w:cstheme="minorBidi"/>
          <w:b w:val="0"/>
          <w:bCs w:val="0"/>
          <w:color w:val="auto"/>
          <w:sz w:val="22"/>
          <w:szCs w:val="22"/>
          <w:lang w:val="en-GB"/>
        </w:rPr>
      </w:pPr>
      <w:r>
        <w:rPr>
          <w:rFonts w:ascii="Arial Nova" w:eastAsiaTheme="minorEastAsia" w:hAnsi="Arial Nova" w:cstheme="minorBidi"/>
          <w:b w:val="0"/>
          <w:bCs w:val="0"/>
          <w:color w:val="auto"/>
          <w:sz w:val="22"/>
          <w:szCs w:val="22"/>
          <w:lang w:val="en-GB"/>
        </w:rPr>
        <w:t>U</w:t>
      </w:r>
      <w:r w:rsidR="00D011F1" w:rsidRPr="00D011F1">
        <w:rPr>
          <w:rFonts w:ascii="Arial Nova" w:eastAsiaTheme="minorEastAsia" w:hAnsi="Arial Nova" w:cstheme="minorBidi"/>
          <w:b w:val="0"/>
          <w:bCs w:val="0"/>
          <w:color w:val="auto"/>
          <w:sz w:val="22"/>
          <w:szCs w:val="22"/>
          <w:lang w:val="en-GB"/>
        </w:rPr>
        <w:t>sers can navigate the technical content and terminology</w:t>
      </w:r>
      <w:r>
        <w:rPr>
          <w:rFonts w:ascii="Arial Nova" w:eastAsiaTheme="minorEastAsia" w:hAnsi="Arial Nova" w:cstheme="minorBidi"/>
          <w:b w:val="0"/>
          <w:bCs w:val="0"/>
          <w:color w:val="auto"/>
          <w:sz w:val="22"/>
          <w:szCs w:val="22"/>
          <w:lang w:val="en-GB"/>
        </w:rPr>
        <w:t>.</w:t>
      </w:r>
    </w:p>
    <w:p w14:paraId="60DACEDE" w14:textId="16816296" w:rsidR="00AA425C" w:rsidRDefault="004E13DE" w:rsidP="004D47CF">
      <w:pPr>
        <w:pStyle w:val="Heading2"/>
        <w:numPr>
          <w:ilvl w:val="0"/>
          <w:numId w:val="26"/>
        </w:numPr>
        <w:rPr>
          <w:rFonts w:ascii="Arial Nova" w:eastAsiaTheme="minorEastAsia" w:hAnsi="Arial Nova" w:cstheme="minorBidi"/>
          <w:b w:val="0"/>
          <w:bCs w:val="0"/>
          <w:color w:val="auto"/>
          <w:sz w:val="22"/>
          <w:szCs w:val="22"/>
          <w:lang w:val="en-GB"/>
        </w:rPr>
      </w:pPr>
      <w:r>
        <w:rPr>
          <w:rFonts w:ascii="Arial Nova" w:eastAsiaTheme="minorEastAsia" w:hAnsi="Arial Nova" w:cstheme="minorBidi"/>
          <w:b w:val="0"/>
          <w:bCs w:val="0"/>
          <w:color w:val="auto"/>
          <w:sz w:val="22"/>
          <w:szCs w:val="22"/>
          <w:lang w:val="en-GB"/>
        </w:rPr>
        <w:t>D</w:t>
      </w:r>
      <w:r w:rsidR="00D011F1" w:rsidRPr="00D011F1">
        <w:rPr>
          <w:rFonts w:ascii="Arial Nova" w:eastAsiaTheme="minorEastAsia" w:hAnsi="Arial Nova" w:cstheme="minorBidi"/>
          <w:b w:val="0"/>
          <w:bCs w:val="0"/>
          <w:color w:val="auto"/>
          <w:sz w:val="22"/>
          <w:szCs w:val="22"/>
          <w:lang w:val="en-GB"/>
        </w:rPr>
        <w:t xml:space="preserve">ifferent stakeholders – including </w:t>
      </w:r>
      <w:r w:rsidR="00837D42">
        <w:rPr>
          <w:rFonts w:ascii="Arial Nova" w:eastAsiaTheme="minorEastAsia" w:hAnsi="Arial Nova" w:cstheme="minorBidi"/>
          <w:b w:val="0"/>
          <w:bCs w:val="0"/>
          <w:color w:val="auto"/>
          <w:sz w:val="22"/>
          <w:szCs w:val="22"/>
          <w:lang w:val="en-GB"/>
        </w:rPr>
        <w:t xml:space="preserve">arms </w:t>
      </w:r>
      <w:r w:rsidR="00D011F1" w:rsidRPr="00D011F1">
        <w:rPr>
          <w:rFonts w:ascii="Arial Nova" w:eastAsiaTheme="minorEastAsia" w:hAnsi="Arial Nova" w:cstheme="minorBidi"/>
          <w:b w:val="0"/>
          <w:bCs w:val="0"/>
          <w:color w:val="auto"/>
          <w:sz w:val="22"/>
          <w:szCs w:val="22"/>
          <w:lang w:val="en-GB"/>
        </w:rPr>
        <w:t xml:space="preserve">export licensing authorities, </w:t>
      </w:r>
      <w:r w:rsidR="00837D42">
        <w:rPr>
          <w:rFonts w:ascii="Arial Nova" w:eastAsiaTheme="minorEastAsia" w:hAnsi="Arial Nova" w:cstheme="minorBidi"/>
          <w:b w:val="0"/>
          <w:bCs w:val="0"/>
          <w:color w:val="auto"/>
          <w:sz w:val="22"/>
          <w:szCs w:val="22"/>
          <w:lang w:val="en-GB"/>
        </w:rPr>
        <w:t>import control agencies, small arms commissions</w:t>
      </w:r>
      <w:r w:rsidR="00A823DD">
        <w:rPr>
          <w:rFonts w:ascii="Arial Nova" w:eastAsiaTheme="minorEastAsia" w:hAnsi="Arial Nova" w:cstheme="minorBidi"/>
          <w:b w:val="0"/>
          <w:bCs w:val="0"/>
          <w:color w:val="auto"/>
          <w:sz w:val="22"/>
          <w:szCs w:val="22"/>
          <w:lang w:val="en-GB"/>
        </w:rPr>
        <w:t xml:space="preserve">, </w:t>
      </w:r>
      <w:r w:rsidR="00D011F1" w:rsidRPr="00D011F1">
        <w:rPr>
          <w:rFonts w:ascii="Arial Nova" w:eastAsiaTheme="minorEastAsia" w:hAnsi="Arial Nova" w:cstheme="minorBidi"/>
          <w:b w:val="0"/>
          <w:bCs w:val="0"/>
          <w:color w:val="auto"/>
          <w:sz w:val="22"/>
          <w:szCs w:val="22"/>
          <w:lang w:val="en-GB"/>
        </w:rPr>
        <w:t xml:space="preserve">international organisations, donors and other partners – can use the information generated to inform </w:t>
      </w:r>
      <w:r w:rsidR="005C378C">
        <w:rPr>
          <w:rFonts w:ascii="Arial Nova" w:eastAsiaTheme="minorEastAsia" w:hAnsi="Arial Nova" w:cstheme="minorBidi"/>
          <w:b w:val="0"/>
          <w:bCs w:val="0"/>
          <w:color w:val="auto"/>
          <w:sz w:val="22"/>
          <w:szCs w:val="22"/>
          <w:lang w:val="en-GB"/>
        </w:rPr>
        <w:t>export-licensin</w:t>
      </w:r>
      <w:r w:rsidR="007C3D2C">
        <w:rPr>
          <w:rFonts w:ascii="Arial Nova" w:eastAsiaTheme="minorEastAsia" w:hAnsi="Arial Nova" w:cstheme="minorBidi"/>
          <w:b w:val="0"/>
          <w:bCs w:val="0"/>
          <w:color w:val="auto"/>
          <w:sz w:val="22"/>
          <w:szCs w:val="22"/>
          <w:lang w:val="en-GB"/>
        </w:rPr>
        <w:t xml:space="preserve">g decisions, </w:t>
      </w:r>
      <w:r w:rsidR="00D011F1" w:rsidRPr="00D011F1">
        <w:rPr>
          <w:rFonts w:ascii="Arial Nova" w:eastAsiaTheme="minorEastAsia" w:hAnsi="Arial Nova" w:cstheme="minorBidi"/>
          <w:b w:val="0"/>
          <w:bCs w:val="0"/>
          <w:color w:val="auto"/>
          <w:sz w:val="22"/>
          <w:szCs w:val="22"/>
          <w:lang w:val="en-GB"/>
        </w:rPr>
        <w:t>tailor assistance programmes</w:t>
      </w:r>
      <w:r w:rsidR="00DD0925">
        <w:rPr>
          <w:rFonts w:ascii="Arial Nova" w:eastAsiaTheme="minorEastAsia" w:hAnsi="Arial Nova" w:cstheme="minorBidi"/>
          <w:b w:val="0"/>
          <w:bCs w:val="0"/>
          <w:color w:val="auto"/>
          <w:sz w:val="22"/>
          <w:szCs w:val="22"/>
          <w:lang w:val="en-GB"/>
        </w:rPr>
        <w:t>,</w:t>
      </w:r>
      <w:r w:rsidR="00D011F1" w:rsidRPr="00D011F1">
        <w:rPr>
          <w:rFonts w:ascii="Arial Nova" w:eastAsiaTheme="minorEastAsia" w:hAnsi="Arial Nova" w:cstheme="minorBidi"/>
          <w:b w:val="0"/>
          <w:bCs w:val="0"/>
          <w:color w:val="auto"/>
          <w:sz w:val="22"/>
          <w:szCs w:val="22"/>
          <w:lang w:val="en-GB"/>
        </w:rPr>
        <w:t xml:space="preserve"> and jointly support safe</w:t>
      </w:r>
      <w:r w:rsidR="006E2D85">
        <w:rPr>
          <w:rFonts w:ascii="Arial Nova" w:eastAsiaTheme="minorEastAsia" w:hAnsi="Arial Nova" w:cstheme="minorBidi"/>
          <w:b w:val="0"/>
          <w:bCs w:val="0"/>
          <w:color w:val="auto"/>
          <w:sz w:val="22"/>
          <w:szCs w:val="22"/>
          <w:lang w:val="en-GB"/>
        </w:rPr>
        <w:t xml:space="preserve"> and secure</w:t>
      </w:r>
      <w:r w:rsidR="00D011F1" w:rsidRPr="00D011F1">
        <w:rPr>
          <w:rFonts w:ascii="Arial Nova" w:eastAsiaTheme="minorEastAsia" w:hAnsi="Arial Nova" w:cstheme="minorBidi"/>
          <w:b w:val="0"/>
          <w:bCs w:val="0"/>
          <w:color w:val="auto"/>
          <w:sz w:val="22"/>
          <w:szCs w:val="22"/>
          <w:lang w:val="en-GB"/>
        </w:rPr>
        <w:t xml:space="preserve"> arms and ammunition management aligned with national needs and priorities. </w:t>
      </w:r>
    </w:p>
    <w:p w14:paraId="0CF191AE" w14:textId="5EAB1F1A" w:rsidR="00FA269F" w:rsidRPr="00FA269F" w:rsidRDefault="00FA269F" w:rsidP="00FA269F">
      <w:pPr>
        <w:rPr>
          <w:lang w:val="en-GB"/>
        </w:rPr>
      </w:pPr>
      <w:r w:rsidRPr="00FA269F">
        <w:rPr>
          <w:i/>
          <w:iCs/>
          <w:lang w:val="en-GB"/>
        </w:rPr>
        <w:t>How to read this note</w:t>
      </w:r>
      <w:r>
        <w:rPr>
          <w:lang w:val="en-GB"/>
        </w:rPr>
        <w:t>:</w:t>
      </w:r>
      <w:r w:rsidRPr="00FA269F">
        <w:rPr>
          <w:lang w:val="en-GB"/>
        </w:rPr>
        <w:t xml:space="preserve"> </w:t>
      </w:r>
      <w:r w:rsidR="00370BFC">
        <w:rPr>
          <w:lang w:val="en-GB"/>
        </w:rPr>
        <w:t xml:space="preserve">users </w:t>
      </w:r>
      <w:r>
        <w:rPr>
          <w:lang w:val="en-GB"/>
        </w:rPr>
        <w:t>filling out the tool</w:t>
      </w:r>
      <w:r w:rsidR="00F17020">
        <w:rPr>
          <w:lang w:val="en-GB"/>
        </w:rPr>
        <w:t xml:space="preserve"> (such as importing authorit</w:t>
      </w:r>
      <w:r w:rsidR="00370BFC">
        <w:rPr>
          <w:lang w:val="en-GB"/>
        </w:rPr>
        <w:t>ies</w:t>
      </w:r>
      <w:r w:rsidR="00F17020">
        <w:rPr>
          <w:lang w:val="en-GB"/>
        </w:rPr>
        <w:t xml:space="preserve"> </w:t>
      </w:r>
      <w:r w:rsidR="00370BFC">
        <w:rPr>
          <w:lang w:val="en-GB"/>
        </w:rPr>
        <w:t>within</w:t>
      </w:r>
      <w:r w:rsidR="00F17020">
        <w:rPr>
          <w:lang w:val="en-GB"/>
        </w:rPr>
        <w:t xml:space="preserve"> armed forces)</w:t>
      </w:r>
      <w:r>
        <w:rPr>
          <w:lang w:val="en-GB"/>
        </w:rPr>
        <w:t xml:space="preserve"> </w:t>
      </w:r>
      <w:r w:rsidR="00D248D0">
        <w:rPr>
          <w:lang w:val="en-GB"/>
        </w:rPr>
        <w:t>are advised to focus</w:t>
      </w:r>
      <w:r w:rsidRPr="00FA269F">
        <w:rPr>
          <w:lang w:val="en-GB"/>
        </w:rPr>
        <w:t xml:space="preserve"> </w:t>
      </w:r>
      <w:r w:rsidR="00E24EA9">
        <w:rPr>
          <w:lang w:val="en-GB"/>
        </w:rPr>
        <w:t xml:space="preserve">primarily </w:t>
      </w:r>
      <w:r w:rsidRPr="00FA269F">
        <w:rPr>
          <w:lang w:val="en-GB"/>
        </w:rPr>
        <w:t>on sections 2–5</w:t>
      </w:r>
      <w:r w:rsidR="00031AEF">
        <w:rPr>
          <w:lang w:val="en-GB"/>
        </w:rPr>
        <w:t xml:space="preserve">. Stakeholders </w:t>
      </w:r>
      <w:r w:rsidR="00F17020">
        <w:rPr>
          <w:lang w:val="en-GB"/>
        </w:rPr>
        <w:t xml:space="preserve">requesting the assessment (such as </w:t>
      </w:r>
      <w:r w:rsidRPr="00FA269F">
        <w:rPr>
          <w:lang w:val="en-GB"/>
        </w:rPr>
        <w:t>export</w:t>
      </w:r>
      <w:r w:rsidRPr="00FA269F">
        <w:rPr>
          <w:rFonts w:ascii="Cambria Math" w:hAnsi="Cambria Math" w:cs="Cambria Math"/>
          <w:lang w:val="en-GB"/>
        </w:rPr>
        <w:t>‑</w:t>
      </w:r>
      <w:r w:rsidRPr="00FA269F">
        <w:rPr>
          <w:lang w:val="en-GB"/>
        </w:rPr>
        <w:t>licensing authorities and partners</w:t>
      </w:r>
      <w:r w:rsidR="00F17020">
        <w:rPr>
          <w:lang w:val="en-GB"/>
        </w:rPr>
        <w:t>)</w:t>
      </w:r>
      <w:r w:rsidRPr="00FA269F">
        <w:rPr>
          <w:lang w:val="en-GB"/>
        </w:rPr>
        <w:t xml:space="preserve"> may be most interested in section</w:t>
      </w:r>
      <w:r>
        <w:rPr>
          <w:lang w:val="en-GB"/>
        </w:rPr>
        <w:t xml:space="preserve"> </w:t>
      </w:r>
      <w:r w:rsidR="00F17020">
        <w:rPr>
          <w:lang w:val="en-GB"/>
        </w:rPr>
        <w:t>6</w:t>
      </w:r>
      <w:r w:rsidRPr="00FA269F">
        <w:rPr>
          <w:lang w:val="en-GB"/>
        </w:rPr>
        <w:t xml:space="preserve"> on </w:t>
      </w:r>
      <w:r w:rsidR="00C17B42">
        <w:rPr>
          <w:lang w:val="en-GB"/>
        </w:rPr>
        <w:t xml:space="preserve">the </w:t>
      </w:r>
      <w:r w:rsidRPr="00FA269F">
        <w:rPr>
          <w:lang w:val="en-GB"/>
        </w:rPr>
        <w:t>interpretation and use of results</w:t>
      </w:r>
      <w:r>
        <w:rPr>
          <w:lang w:val="en-GB"/>
        </w:rPr>
        <w:t>.</w:t>
      </w:r>
    </w:p>
    <w:p w14:paraId="2045D383" w14:textId="0D67C41A" w:rsidR="00BE0B65" w:rsidRPr="00567F84" w:rsidRDefault="00543B17" w:rsidP="00D011F1">
      <w:pPr>
        <w:pStyle w:val="Heading2"/>
        <w:rPr>
          <w:color w:val="95B3D7" w:themeColor="accent1" w:themeTint="99"/>
          <w:lang w:val="en-GB"/>
        </w:rPr>
      </w:pPr>
      <w:bookmarkStart w:id="0" w:name="OLE_LINK1"/>
      <w:r w:rsidRPr="00567F84">
        <w:rPr>
          <w:color w:val="95B3D7" w:themeColor="accent1" w:themeTint="99"/>
          <w:lang w:val="en-GB"/>
        </w:rPr>
        <w:t xml:space="preserve">1.2 Background and </w:t>
      </w:r>
      <w:r w:rsidR="00D011F1" w:rsidRPr="00567F84">
        <w:rPr>
          <w:color w:val="95B3D7" w:themeColor="accent1" w:themeTint="99"/>
          <w:lang w:val="en-GB"/>
        </w:rPr>
        <w:t>c</w:t>
      </w:r>
      <w:r w:rsidRPr="00567F84">
        <w:rPr>
          <w:color w:val="95B3D7" w:themeColor="accent1" w:themeTint="99"/>
          <w:lang w:val="en-GB"/>
        </w:rPr>
        <w:t>ontext</w:t>
      </w:r>
    </w:p>
    <w:p w14:paraId="43F125DC" w14:textId="312614C7" w:rsidR="00E559E7" w:rsidRPr="0014598A" w:rsidRDefault="00E559E7" w:rsidP="00E559E7">
      <w:pPr>
        <w:rPr>
          <w:lang w:val="en-GB"/>
        </w:rPr>
      </w:pPr>
      <w:r w:rsidRPr="00222F74">
        <w:rPr>
          <w:lang w:val="en-GB"/>
        </w:rPr>
        <w:t>The AAMVS self-assessment tool was developed</w:t>
      </w:r>
      <w:r w:rsidR="00543B17" w:rsidRPr="0014598A">
        <w:rPr>
          <w:lang w:val="en-GB"/>
        </w:rPr>
        <w:t xml:space="preserve"> by the Geneva International Centre for Humanitarian Demining (GICHD) through its Ammunition Management Advisory Team (AMAT), in collaboration with </w:t>
      </w:r>
      <w:r w:rsidR="00543B17" w:rsidRPr="0014598A">
        <w:rPr>
          <w:lang w:val="en-GB"/>
        </w:rPr>
        <w:lastRenderedPageBreak/>
        <w:t>the Small Arms Survey</w:t>
      </w:r>
      <w:r>
        <w:rPr>
          <w:lang w:val="en-GB"/>
        </w:rPr>
        <w:t>. The project was</w:t>
      </w:r>
      <w:r w:rsidRPr="0014598A">
        <w:rPr>
          <w:lang w:val="en-GB"/>
        </w:rPr>
        <w:t xml:space="preserve"> </w:t>
      </w:r>
      <w:r>
        <w:rPr>
          <w:lang w:val="en-GB"/>
        </w:rPr>
        <w:t>financed</w:t>
      </w:r>
      <w:r w:rsidRPr="0014598A">
        <w:rPr>
          <w:lang w:val="en-GB"/>
        </w:rPr>
        <w:t xml:space="preserve"> by the European Union (EU)</w:t>
      </w:r>
      <w:r w:rsidR="00F17020">
        <w:rPr>
          <w:lang w:val="en-GB"/>
        </w:rPr>
        <w:t xml:space="preserve"> through Council Decision (CFSP) 2022/2275 of 18 November 2022</w:t>
      </w:r>
      <w:r>
        <w:rPr>
          <w:lang w:val="en-GB"/>
        </w:rPr>
        <w:t>.</w:t>
      </w:r>
      <w:r w:rsidR="00F17020">
        <w:rPr>
          <w:rStyle w:val="FootnoteReference"/>
          <w:lang w:val="en-GB"/>
        </w:rPr>
        <w:footnoteReference w:id="1"/>
      </w:r>
      <w:r>
        <w:rPr>
          <w:lang w:val="en-GB"/>
        </w:rPr>
        <w:t xml:space="preserve"> </w:t>
      </w:r>
      <w:r w:rsidR="00F17020">
        <w:rPr>
          <w:lang w:val="en-GB"/>
        </w:rPr>
        <w:t xml:space="preserve">The Council Decision tasked GICHD with developing a self-assessment tool designed to enable states to assess and share information about their arms and ammunition management capabilities in a standardized format. </w:t>
      </w:r>
      <w:r w:rsidRPr="0014598A">
        <w:rPr>
          <w:lang w:val="en-GB"/>
        </w:rPr>
        <w:t xml:space="preserve"> </w:t>
      </w:r>
    </w:p>
    <w:p w14:paraId="195E49CE" w14:textId="7B2FDAB8" w:rsidR="00BE0B65" w:rsidRDefault="00543B17" w:rsidP="005D62F1">
      <w:pPr>
        <w:rPr>
          <w:lang w:val="en-GB"/>
        </w:rPr>
      </w:pPr>
      <w:r w:rsidRPr="0014598A">
        <w:rPr>
          <w:lang w:val="en-GB"/>
        </w:rPr>
        <w:t xml:space="preserve">One important application of </w:t>
      </w:r>
      <w:r w:rsidR="00EA613E">
        <w:rPr>
          <w:lang w:val="en-GB"/>
        </w:rPr>
        <w:t xml:space="preserve">the </w:t>
      </w:r>
      <w:r w:rsidRPr="0014598A">
        <w:rPr>
          <w:lang w:val="en-GB"/>
        </w:rPr>
        <w:t xml:space="preserve">AAMVS is </w:t>
      </w:r>
      <w:r w:rsidR="00EA613E">
        <w:rPr>
          <w:lang w:val="en-GB"/>
        </w:rPr>
        <w:t>in</w:t>
      </w:r>
      <w:r w:rsidR="00837D42">
        <w:rPr>
          <w:lang w:val="en-GB"/>
        </w:rPr>
        <w:t xml:space="preserve"> </w:t>
      </w:r>
      <w:r w:rsidRPr="0014598A">
        <w:rPr>
          <w:lang w:val="en-GB"/>
        </w:rPr>
        <w:t>export control of arms and ammunition, where licensing authorities may need to conduct</w:t>
      </w:r>
      <w:r w:rsidR="00EA613E">
        <w:rPr>
          <w:lang w:val="en-GB"/>
        </w:rPr>
        <w:t xml:space="preserve"> diversion</w:t>
      </w:r>
      <w:r w:rsidRPr="0014598A">
        <w:rPr>
          <w:lang w:val="en-GB"/>
        </w:rPr>
        <w:t xml:space="preserve"> risk assessments</w:t>
      </w:r>
      <w:r w:rsidR="00EA613E">
        <w:rPr>
          <w:rStyle w:val="FootnoteReference"/>
          <w:lang w:val="en-GB"/>
        </w:rPr>
        <w:footnoteReference w:id="2"/>
      </w:r>
      <w:r w:rsidRPr="0014598A">
        <w:rPr>
          <w:lang w:val="en-GB"/>
        </w:rPr>
        <w:t xml:space="preserve"> of end</w:t>
      </w:r>
      <w:r w:rsidR="00E559E7">
        <w:rPr>
          <w:lang w:val="en-GB"/>
        </w:rPr>
        <w:t>-</w:t>
      </w:r>
      <w:r w:rsidRPr="0014598A">
        <w:rPr>
          <w:lang w:val="en-GB"/>
        </w:rPr>
        <w:t>users prior to authorizing an export.</w:t>
      </w:r>
      <w:r w:rsidR="00E559E7">
        <w:rPr>
          <w:lang w:val="en-GB"/>
        </w:rPr>
        <w:t xml:space="preserve"> </w:t>
      </w:r>
      <w:r w:rsidRPr="0014598A">
        <w:rPr>
          <w:lang w:val="en-GB"/>
        </w:rPr>
        <w:t xml:space="preserve">Including </w:t>
      </w:r>
      <w:r w:rsidR="00E559E7">
        <w:rPr>
          <w:lang w:val="en-GB"/>
        </w:rPr>
        <w:t>end-user</w:t>
      </w:r>
      <w:r w:rsidRPr="0014598A">
        <w:rPr>
          <w:lang w:val="en-GB"/>
        </w:rPr>
        <w:t xml:space="preserve">s’ weapons and ammunition management </w:t>
      </w:r>
      <w:r w:rsidR="00ED543C">
        <w:rPr>
          <w:lang w:val="en-GB"/>
        </w:rPr>
        <w:t xml:space="preserve">(WAM) </w:t>
      </w:r>
      <w:r w:rsidRPr="0014598A">
        <w:rPr>
          <w:lang w:val="en-GB"/>
        </w:rPr>
        <w:t>practices within this risk assessment provides valuable insight into diversion-prevention capabilities and overall safety and security standards.</w:t>
      </w:r>
      <w:r w:rsidR="001F6549">
        <w:rPr>
          <w:lang w:val="en-GB"/>
        </w:rPr>
        <w:t xml:space="preserve"> </w:t>
      </w:r>
    </w:p>
    <w:p w14:paraId="720378FD" w14:textId="6E2A1C1C" w:rsidR="007E5956" w:rsidRPr="0014598A" w:rsidRDefault="00582622" w:rsidP="005D62F1">
      <w:pPr>
        <w:rPr>
          <w:lang w:val="en-GB"/>
        </w:rPr>
      </w:pPr>
      <w:r>
        <w:rPr>
          <w:lang w:val="en-GB"/>
        </w:rPr>
        <w:t>It is impo</w:t>
      </w:r>
      <w:r w:rsidR="00B21FD6">
        <w:rPr>
          <w:lang w:val="en-GB"/>
        </w:rPr>
        <w:t xml:space="preserve">rtant to note that the </w:t>
      </w:r>
      <w:r w:rsidR="008F1B58" w:rsidRPr="00761CC2">
        <w:rPr>
          <w:lang w:val="en-GB"/>
        </w:rPr>
        <w:t xml:space="preserve">tool </w:t>
      </w:r>
      <w:r w:rsidR="00691380">
        <w:rPr>
          <w:lang w:val="en-GB"/>
        </w:rPr>
        <w:t xml:space="preserve">is </w:t>
      </w:r>
      <w:r w:rsidR="00691380" w:rsidRPr="001C5212">
        <w:rPr>
          <w:b/>
          <w:bCs/>
          <w:lang w:val="en-GB"/>
        </w:rPr>
        <w:t xml:space="preserve">not </w:t>
      </w:r>
      <w:r w:rsidR="00841BBA">
        <w:rPr>
          <w:lang w:val="en-GB"/>
        </w:rPr>
        <w:t xml:space="preserve">intended for </w:t>
      </w:r>
      <w:r w:rsidR="00796F7B">
        <w:rPr>
          <w:lang w:val="en-GB"/>
        </w:rPr>
        <w:t xml:space="preserve">cases of weapons and ammunition exports to civilian users. </w:t>
      </w:r>
      <w:r w:rsidR="0000568B">
        <w:rPr>
          <w:lang w:val="en-GB"/>
        </w:rPr>
        <w:t xml:space="preserve">The </w:t>
      </w:r>
      <w:r w:rsidR="004508CA">
        <w:rPr>
          <w:lang w:val="en-GB"/>
        </w:rPr>
        <w:t>t</w:t>
      </w:r>
      <w:r w:rsidR="0000568B">
        <w:rPr>
          <w:lang w:val="en-GB"/>
        </w:rPr>
        <w:t>ool focuss</w:t>
      </w:r>
      <w:r w:rsidR="004508CA">
        <w:rPr>
          <w:lang w:val="en-GB"/>
        </w:rPr>
        <w:t>es</w:t>
      </w:r>
      <w:r w:rsidR="0000568B">
        <w:rPr>
          <w:lang w:val="en-GB"/>
        </w:rPr>
        <w:t xml:space="preserve"> on </w:t>
      </w:r>
      <w:r w:rsidR="00EA613E">
        <w:rPr>
          <w:lang w:val="en-GB"/>
        </w:rPr>
        <w:t xml:space="preserve">the </w:t>
      </w:r>
      <w:r w:rsidR="007B7DCB">
        <w:rPr>
          <w:lang w:val="en-GB"/>
        </w:rPr>
        <w:t xml:space="preserve">export of </w:t>
      </w:r>
      <w:r w:rsidR="008F1B58">
        <w:rPr>
          <w:lang w:val="en-GB"/>
        </w:rPr>
        <w:t>weapons</w:t>
      </w:r>
      <w:r w:rsidR="007B7DCB">
        <w:rPr>
          <w:lang w:val="en-GB"/>
        </w:rPr>
        <w:t xml:space="preserve"> and </w:t>
      </w:r>
      <w:r w:rsidR="008F1B58">
        <w:rPr>
          <w:lang w:val="en-GB"/>
        </w:rPr>
        <w:t xml:space="preserve">ammunition </w:t>
      </w:r>
      <w:r w:rsidR="007B7DCB">
        <w:rPr>
          <w:lang w:val="en-GB"/>
        </w:rPr>
        <w:t xml:space="preserve">to </w:t>
      </w:r>
      <w:r w:rsidR="00EA613E">
        <w:rPr>
          <w:lang w:val="en-GB"/>
        </w:rPr>
        <w:t>state defence and</w:t>
      </w:r>
      <w:r w:rsidR="00302BFB">
        <w:rPr>
          <w:lang w:val="en-GB"/>
        </w:rPr>
        <w:t xml:space="preserve"> </w:t>
      </w:r>
      <w:r w:rsidR="008F1B58">
        <w:rPr>
          <w:lang w:val="en-GB"/>
        </w:rPr>
        <w:t>security institutions</w:t>
      </w:r>
      <w:r w:rsidR="00A83D13">
        <w:rPr>
          <w:lang w:val="en-GB"/>
        </w:rPr>
        <w:t xml:space="preserve"> </w:t>
      </w:r>
      <w:r w:rsidR="005C7DB3">
        <w:rPr>
          <w:lang w:val="en-GB"/>
        </w:rPr>
        <w:t xml:space="preserve">of other nations, including </w:t>
      </w:r>
      <w:r w:rsidR="008F1B58">
        <w:rPr>
          <w:lang w:val="en-GB"/>
        </w:rPr>
        <w:t xml:space="preserve">the military, police and border </w:t>
      </w:r>
      <w:r w:rsidR="00415E62">
        <w:rPr>
          <w:lang w:val="en-GB"/>
        </w:rPr>
        <w:t>security</w:t>
      </w:r>
      <w:r w:rsidR="005C7DB3">
        <w:rPr>
          <w:lang w:val="en-GB"/>
        </w:rPr>
        <w:t xml:space="preserve"> forces. </w:t>
      </w:r>
    </w:p>
    <w:p w14:paraId="514234E8" w14:textId="77777777" w:rsidR="00BE0B65" w:rsidRPr="00567F84" w:rsidRDefault="00543B17" w:rsidP="001B678A">
      <w:pPr>
        <w:pStyle w:val="Heading2"/>
        <w:rPr>
          <w:color w:val="95B3D7" w:themeColor="accent1" w:themeTint="99"/>
        </w:rPr>
      </w:pPr>
      <w:r w:rsidRPr="00567F84">
        <w:rPr>
          <w:color w:val="95B3D7" w:themeColor="accent1" w:themeTint="99"/>
        </w:rPr>
        <w:t>1.3 Objectives of the Self-Assessment Tool</w:t>
      </w:r>
    </w:p>
    <w:p w14:paraId="73F496A6" w14:textId="376FC1B5" w:rsidR="00BE0B65" w:rsidRPr="0014598A" w:rsidRDefault="00E559E7" w:rsidP="001B678A">
      <w:pPr>
        <w:rPr>
          <w:lang w:val="en-GB"/>
        </w:rPr>
      </w:pPr>
      <w:r w:rsidRPr="0014598A">
        <w:rPr>
          <w:lang w:val="en-GB"/>
        </w:rPr>
        <w:t xml:space="preserve">The AAMVS </w:t>
      </w:r>
      <w:r>
        <w:rPr>
          <w:lang w:val="en-GB"/>
        </w:rPr>
        <w:t xml:space="preserve">self-assessment </w:t>
      </w:r>
      <w:r w:rsidRPr="0014598A">
        <w:rPr>
          <w:lang w:val="en-GB"/>
        </w:rPr>
        <w:t xml:space="preserve">tool allows an end-user to provide structured information on their organizational capabilities for the safe and secure </w:t>
      </w:r>
      <w:r w:rsidR="00D248D0">
        <w:rPr>
          <w:lang w:val="en-GB"/>
        </w:rPr>
        <w:t xml:space="preserve">through-life </w:t>
      </w:r>
      <w:r w:rsidRPr="0014598A">
        <w:rPr>
          <w:lang w:val="en-GB"/>
        </w:rPr>
        <w:t>management of weapons and ammunition.</w:t>
      </w:r>
      <w:r>
        <w:rPr>
          <w:lang w:val="en-GB"/>
        </w:rPr>
        <w:t xml:space="preserve"> The aim is </w:t>
      </w:r>
      <w:r w:rsidRPr="0014598A">
        <w:rPr>
          <w:lang w:val="en-GB"/>
        </w:rPr>
        <w:t>to facilitate the bilateral exchange of information on stockpile management capabilities for weapons and ammunition throughout the full life cycle</w:t>
      </w:r>
      <w:r w:rsidR="00EA613E">
        <w:rPr>
          <w:lang w:val="en-GB"/>
        </w:rPr>
        <w:t>.</w:t>
      </w:r>
    </w:p>
    <w:p w14:paraId="09444D80" w14:textId="421511AD" w:rsidR="00BE0B65" w:rsidRPr="0014598A" w:rsidRDefault="00E559E7" w:rsidP="001B678A">
      <w:pPr>
        <w:rPr>
          <w:lang w:val="en-GB"/>
        </w:rPr>
      </w:pPr>
      <w:r>
        <w:rPr>
          <w:lang w:val="en-GB"/>
        </w:rPr>
        <w:t xml:space="preserve">The results obtained from the self-assessment </w:t>
      </w:r>
      <w:r w:rsidR="003757F7">
        <w:rPr>
          <w:lang w:val="en-GB"/>
        </w:rPr>
        <w:t xml:space="preserve">can </w:t>
      </w:r>
      <w:r w:rsidR="00543B17" w:rsidRPr="0014598A">
        <w:rPr>
          <w:lang w:val="en-GB"/>
        </w:rPr>
        <w:t>support decision-making</w:t>
      </w:r>
      <w:r w:rsidR="00522581" w:rsidRPr="0014598A">
        <w:rPr>
          <w:lang w:val="en-GB"/>
        </w:rPr>
        <w:t xml:space="preserve"> in export control</w:t>
      </w:r>
      <w:r w:rsidR="00543B17" w:rsidRPr="0014598A">
        <w:rPr>
          <w:lang w:val="en-GB"/>
        </w:rPr>
        <w:t xml:space="preserve">, capacity-building, and </w:t>
      </w:r>
      <w:r w:rsidR="00522581" w:rsidRPr="0014598A">
        <w:rPr>
          <w:lang w:val="en-GB"/>
        </w:rPr>
        <w:t xml:space="preserve">reporting requirements under various arms control frameworks such as the </w:t>
      </w:r>
      <w:r w:rsidR="00EA613E">
        <w:rPr>
          <w:lang w:val="en-GB"/>
        </w:rPr>
        <w:t>Global Framework for Through-life Conventional Ammunition Management (</w:t>
      </w:r>
      <w:r w:rsidR="00522581" w:rsidRPr="0014598A">
        <w:rPr>
          <w:lang w:val="en-GB"/>
        </w:rPr>
        <w:t>GFA</w:t>
      </w:r>
      <w:r w:rsidR="00EA613E">
        <w:rPr>
          <w:lang w:val="en-GB"/>
        </w:rPr>
        <w:t>)</w:t>
      </w:r>
      <w:r w:rsidR="00522581" w:rsidRPr="0014598A">
        <w:rPr>
          <w:lang w:val="en-GB"/>
        </w:rPr>
        <w:t>, the Arms Trade Treaty (ATT) and the UN Program</w:t>
      </w:r>
      <w:r w:rsidR="00EA613E">
        <w:rPr>
          <w:lang w:val="en-GB"/>
        </w:rPr>
        <w:t>me</w:t>
      </w:r>
      <w:r w:rsidR="00522581" w:rsidRPr="0014598A">
        <w:rPr>
          <w:lang w:val="en-GB"/>
        </w:rPr>
        <w:t xml:space="preserve"> of Action on Small Arms and Light Weapons (</w:t>
      </w:r>
      <w:r>
        <w:rPr>
          <w:lang w:val="en-GB"/>
        </w:rPr>
        <w:t>PoA</w:t>
      </w:r>
      <w:r w:rsidR="00522581" w:rsidRPr="0014598A">
        <w:rPr>
          <w:lang w:val="en-GB"/>
        </w:rPr>
        <w:t>).</w:t>
      </w:r>
    </w:p>
    <w:bookmarkEnd w:id="0"/>
    <w:p w14:paraId="1C5DF042" w14:textId="7D5FDEE2" w:rsidR="00BE0B65" w:rsidRPr="0014598A" w:rsidRDefault="0061466F" w:rsidP="004A3501">
      <w:pPr>
        <w:pStyle w:val="Heading1"/>
        <w:spacing w:before="200"/>
      </w:pPr>
      <w:r w:rsidRPr="0014598A">
        <w:t>Overview</w:t>
      </w:r>
      <w:r w:rsidR="00543B17" w:rsidRPr="0014598A">
        <w:t xml:space="preserve"> </w:t>
      </w:r>
      <w:r w:rsidR="00E24EA9">
        <w:t xml:space="preserve">of </w:t>
      </w:r>
      <w:r w:rsidR="00543B17" w:rsidRPr="0014598A">
        <w:t>the AAMVS Self-Assessment Tool</w:t>
      </w:r>
    </w:p>
    <w:p w14:paraId="7AEFB6AF" w14:textId="54B781D2" w:rsidR="0061466F" w:rsidRPr="0014598A" w:rsidRDefault="00543B17" w:rsidP="00F01C34">
      <w:pPr>
        <w:rPr>
          <w:lang w:val="en-GB"/>
        </w:rPr>
      </w:pPr>
      <w:r w:rsidRPr="0014598A">
        <w:rPr>
          <w:lang w:val="en-GB"/>
        </w:rPr>
        <w:t xml:space="preserve">The AAMVS self-assessment </w:t>
      </w:r>
      <w:r w:rsidR="0061466F" w:rsidRPr="0014598A">
        <w:rPr>
          <w:lang w:val="en-GB"/>
        </w:rPr>
        <w:t xml:space="preserve">is an Excel-based </w:t>
      </w:r>
      <w:r w:rsidRPr="0014598A">
        <w:rPr>
          <w:lang w:val="en-GB"/>
        </w:rPr>
        <w:t>tool</w:t>
      </w:r>
      <w:r w:rsidR="0061466F" w:rsidRPr="0014598A">
        <w:rPr>
          <w:lang w:val="en-GB"/>
        </w:rPr>
        <w:t xml:space="preserve"> that </w:t>
      </w:r>
      <w:r w:rsidRPr="00543B17">
        <w:rPr>
          <w:lang w:val="en-GB"/>
        </w:rPr>
        <w:t>contains 37 multiple</w:t>
      </w:r>
      <w:r w:rsidRPr="0014598A">
        <w:rPr>
          <w:lang w:val="en-GB"/>
        </w:rPr>
        <w:t>-choice questions.</w:t>
      </w:r>
      <w:r w:rsidR="00522581" w:rsidRPr="0014598A">
        <w:rPr>
          <w:lang w:val="en-GB"/>
        </w:rPr>
        <w:t xml:space="preserve"> </w:t>
      </w:r>
    </w:p>
    <w:p w14:paraId="74DFE6ED" w14:textId="77777777" w:rsidR="0061466F" w:rsidRPr="0014598A" w:rsidRDefault="0061466F" w:rsidP="00F01C34">
      <w:pPr>
        <w:rPr>
          <w:lang w:val="en-GB"/>
        </w:rPr>
      </w:pPr>
      <w:r w:rsidRPr="0014598A">
        <w:rPr>
          <w:lang w:val="en-GB"/>
        </w:rPr>
        <w:t>The tool includes:</w:t>
      </w:r>
    </w:p>
    <w:p w14:paraId="4CAB1512" w14:textId="28ED5CE3" w:rsidR="0061466F" w:rsidRPr="00E559E7" w:rsidRDefault="0061466F" w:rsidP="009462A8">
      <w:pPr>
        <w:pStyle w:val="ListParagraph"/>
        <w:numPr>
          <w:ilvl w:val="0"/>
          <w:numId w:val="30"/>
        </w:numPr>
        <w:rPr>
          <w:lang w:val="en-GB"/>
        </w:rPr>
      </w:pPr>
      <w:r w:rsidRPr="00E559E7">
        <w:rPr>
          <w:lang w:val="en-GB"/>
        </w:rPr>
        <w:t>Tool Guide Tab</w:t>
      </w:r>
    </w:p>
    <w:p w14:paraId="5A5440DC" w14:textId="072323A9" w:rsidR="0061466F" w:rsidRPr="00E559E7" w:rsidRDefault="0061466F" w:rsidP="009462A8">
      <w:pPr>
        <w:pStyle w:val="ListParagraph"/>
        <w:numPr>
          <w:ilvl w:val="0"/>
          <w:numId w:val="30"/>
        </w:numPr>
        <w:rPr>
          <w:lang w:val="en-GB"/>
        </w:rPr>
      </w:pPr>
      <w:r w:rsidRPr="00E559E7">
        <w:rPr>
          <w:lang w:val="en-GB"/>
        </w:rPr>
        <w:t>Overview Tab</w:t>
      </w:r>
    </w:p>
    <w:p w14:paraId="6D491248" w14:textId="2F891370" w:rsidR="0061466F" w:rsidRPr="00E559E7" w:rsidRDefault="0061466F" w:rsidP="009462A8">
      <w:pPr>
        <w:pStyle w:val="ListParagraph"/>
        <w:numPr>
          <w:ilvl w:val="0"/>
          <w:numId w:val="30"/>
        </w:numPr>
        <w:rPr>
          <w:lang w:val="en-GB"/>
        </w:rPr>
      </w:pPr>
      <w:r w:rsidRPr="00E559E7">
        <w:rPr>
          <w:lang w:val="en-GB"/>
        </w:rPr>
        <w:t>Nine Functional Sections</w:t>
      </w:r>
    </w:p>
    <w:p w14:paraId="274F569C" w14:textId="6BC51054" w:rsidR="0061466F" w:rsidRDefault="0061466F" w:rsidP="009462A8">
      <w:pPr>
        <w:pStyle w:val="ListParagraph"/>
        <w:numPr>
          <w:ilvl w:val="0"/>
          <w:numId w:val="30"/>
        </w:numPr>
        <w:rPr>
          <w:lang w:val="en-GB"/>
        </w:rPr>
      </w:pPr>
      <w:r w:rsidRPr="00E559E7">
        <w:rPr>
          <w:lang w:val="en-GB"/>
        </w:rPr>
        <w:t>Results Tab</w:t>
      </w:r>
    </w:p>
    <w:p w14:paraId="546C5C0D" w14:textId="3532CE8F" w:rsidR="00BF184F" w:rsidRPr="00E559E7" w:rsidRDefault="009343F5" w:rsidP="009462A8">
      <w:pPr>
        <w:pStyle w:val="ListParagraph"/>
        <w:numPr>
          <w:ilvl w:val="0"/>
          <w:numId w:val="30"/>
        </w:numPr>
        <w:rPr>
          <w:lang w:val="en-GB"/>
        </w:rPr>
      </w:pPr>
      <w:r>
        <w:rPr>
          <w:lang w:val="en-GB"/>
        </w:rPr>
        <w:t xml:space="preserve">Instructions </w:t>
      </w:r>
      <w:r w:rsidR="00D04B90">
        <w:rPr>
          <w:lang w:val="en-GB"/>
        </w:rPr>
        <w:t xml:space="preserve">Tab </w:t>
      </w:r>
      <w:r>
        <w:rPr>
          <w:lang w:val="en-GB"/>
        </w:rPr>
        <w:t>for printing/saving</w:t>
      </w:r>
      <w:r w:rsidR="00E37912">
        <w:rPr>
          <w:lang w:val="en-GB"/>
        </w:rPr>
        <w:t xml:space="preserve"> the results</w:t>
      </w:r>
    </w:p>
    <w:p w14:paraId="56F20146" w14:textId="02E448C1" w:rsidR="00522581" w:rsidRPr="0014598A" w:rsidRDefault="0061466F" w:rsidP="00F01C34">
      <w:pPr>
        <w:rPr>
          <w:lang w:val="en-GB"/>
        </w:rPr>
      </w:pPr>
      <w:r w:rsidRPr="0014598A">
        <w:rPr>
          <w:lang w:val="en-GB"/>
        </w:rPr>
        <w:t xml:space="preserve">Each functional section includes an introduction, questions, assessed level, evidence, and comments. Among the </w:t>
      </w:r>
      <w:r w:rsidR="00522581" w:rsidRPr="0014598A">
        <w:rPr>
          <w:lang w:val="en-GB"/>
        </w:rPr>
        <w:t>questions</w:t>
      </w:r>
      <w:r w:rsidRPr="0014598A">
        <w:rPr>
          <w:lang w:val="en-GB"/>
        </w:rPr>
        <w:t>, 13</w:t>
      </w:r>
      <w:r w:rsidR="00522581" w:rsidRPr="0014598A">
        <w:rPr>
          <w:lang w:val="en-GB"/>
        </w:rPr>
        <w:t xml:space="preserve"> </w:t>
      </w:r>
      <w:r w:rsidR="008524D9">
        <w:rPr>
          <w:lang w:val="en-GB"/>
        </w:rPr>
        <w:t xml:space="preserve">request </w:t>
      </w:r>
      <w:r w:rsidR="00E559E7">
        <w:rPr>
          <w:lang w:val="en-GB"/>
        </w:rPr>
        <w:t>the end-user</w:t>
      </w:r>
      <w:r w:rsidR="00522581" w:rsidRPr="0014598A">
        <w:rPr>
          <w:lang w:val="en-GB"/>
        </w:rPr>
        <w:t xml:space="preserve"> to </w:t>
      </w:r>
      <w:r w:rsidR="00B95CFA">
        <w:rPr>
          <w:lang w:val="en-GB"/>
        </w:rPr>
        <w:t xml:space="preserve">add </w:t>
      </w:r>
      <w:r w:rsidR="00522581" w:rsidRPr="0014598A">
        <w:rPr>
          <w:lang w:val="en-GB"/>
        </w:rPr>
        <w:t>supporting evidence in a</w:t>
      </w:r>
      <w:r w:rsidR="008524D9">
        <w:rPr>
          <w:lang w:val="en-GB"/>
        </w:rPr>
        <w:t xml:space="preserve"> provided</w:t>
      </w:r>
      <w:r w:rsidR="00522581" w:rsidRPr="0014598A">
        <w:rPr>
          <w:lang w:val="en-GB"/>
        </w:rPr>
        <w:t xml:space="preserve"> text box. This may include an explanation of processes, authorities, structures, or procedures, as well as references to relevant laws, regulations, official documents, or reports.</w:t>
      </w:r>
    </w:p>
    <w:p w14:paraId="7F51CF26" w14:textId="0D216FA3" w:rsidR="00BE0B65" w:rsidRPr="0014598A" w:rsidRDefault="00543B17" w:rsidP="003E776F">
      <w:pPr>
        <w:pStyle w:val="Heading1"/>
        <w:spacing w:before="200"/>
      </w:pPr>
      <w:r w:rsidRPr="0014598A">
        <w:lastRenderedPageBreak/>
        <w:t>Target Audience</w:t>
      </w:r>
    </w:p>
    <w:p w14:paraId="0084E576" w14:textId="0CD9FE89" w:rsidR="00BE0B65" w:rsidRPr="00567F84" w:rsidRDefault="00543B17" w:rsidP="00F01C34">
      <w:pPr>
        <w:pStyle w:val="Heading2"/>
        <w:rPr>
          <w:color w:val="95B3D7" w:themeColor="accent1" w:themeTint="99"/>
          <w:lang w:val="en-GB"/>
        </w:rPr>
      </w:pPr>
      <w:r w:rsidRPr="00567F84">
        <w:rPr>
          <w:color w:val="95B3D7" w:themeColor="accent1" w:themeTint="99"/>
          <w:lang w:val="en-GB"/>
        </w:rPr>
        <w:t xml:space="preserve">3.1 Who </w:t>
      </w:r>
      <w:r w:rsidR="00D011F1" w:rsidRPr="00567F84">
        <w:rPr>
          <w:color w:val="95B3D7" w:themeColor="accent1" w:themeTint="99"/>
          <w:lang w:val="en-GB"/>
        </w:rPr>
        <w:t>should use the tool</w:t>
      </w:r>
      <w:r w:rsidR="00E559E7" w:rsidRPr="00567F84">
        <w:rPr>
          <w:color w:val="95B3D7" w:themeColor="accent1" w:themeTint="99"/>
          <w:lang w:val="en-GB"/>
        </w:rPr>
        <w:t xml:space="preserve"> and its results</w:t>
      </w:r>
    </w:p>
    <w:p w14:paraId="241DE8D7" w14:textId="7A3196EC" w:rsidR="00897F98" w:rsidRDefault="00E559E7" w:rsidP="00DA30CA">
      <w:pPr>
        <w:rPr>
          <w:lang w:val="en-GB"/>
        </w:rPr>
      </w:pPr>
      <w:r w:rsidRPr="00E559E7">
        <w:rPr>
          <w:lang w:val="en-GB"/>
        </w:rPr>
        <w:t>The AAMVS self</w:t>
      </w:r>
      <w:r w:rsidRPr="00E559E7">
        <w:rPr>
          <w:rFonts w:ascii="Cambria Math" w:hAnsi="Cambria Math" w:cs="Cambria Math"/>
          <w:lang w:val="en-GB"/>
        </w:rPr>
        <w:t>‑</w:t>
      </w:r>
      <w:r w:rsidRPr="00E559E7">
        <w:rPr>
          <w:lang w:val="en-GB"/>
        </w:rPr>
        <w:t xml:space="preserve">assessment tool </w:t>
      </w:r>
      <w:r w:rsidR="00C252B1">
        <w:rPr>
          <w:lang w:val="en-GB"/>
        </w:rPr>
        <w:t xml:space="preserve">is primarily intended for completion </w:t>
      </w:r>
      <w:r w:rsidR="00837D42">
        <w:rPr>
          <w:lang w:val="en-GB"/>
        </w:rPr>
        <w:t xml:space="preserve">by </w:t>
      </w:r>
      <w:r w:rsidRPr="00E559E7">
        <w:rPr>
          <w:lang w:val="en-GB"/>
        </w:rPr>
        <w:t>end</w:t>
      </w:r>
      <w:r>
        <w:rPr>
          <w:lang w:val="en-GB"/>
        </w:rPr>
        <w:t>-</w:t>
      </w:r>
      <w:r w:rsidRPr="00E559E7">
        <w:rPr>
          <w:lang w:val="en-GB"/>
        </w:rPr>
        <w:t>users of weapons and ammunition</w:t>
      </w:r>
      <w:r w:rsidR="00C252B1">
        <w:rPr>
          <w:lang w:val="en-GB"/>
        </w:rPr>
        <w:t>, including</w:t>
      </w:r>
      <w:r w:rsidRPr="00E559E7">
        <w:rPr>
          <w:lang w:val="en-GB"/>
        </w:rPr>
        <w:t xml:space="preserve"> </w:t>
      </w:r>
      <w:r w:rsidR="00D07142">
        <w:rPr>
          <w:lang w:val="en-GB"/>
        </w:rPr>
        <w:t xml:space="preserve">the </w:t>
      </w:r>
      <w:r w:rsidRPr="00E559E7">
        <w:rPr>
          <w:lang w:val="en-GB"/>
        </w:rPr>
        <w:t>military</w:t>
      </w:r>
      <w:r w:rsidR="00D07142">
        <w:rPr>
          <w:lang w:val="en-GB"/>
        </w:rPr>
        <w:t xml:space="preserve">, </w:t>
      </w:r>
      <w:r w:rsidRPr="00E559E7">
        <w:rPr>
          <w:lang w:val="en-GB"/>
        </w:rPr>
        <w:t xml:space="preserve">police service, gendarmerie, or other </w:t>
      </w:r>
      <w:r w:rsidR="00D07142">
        <w:rPr>
          <w:lang w:val="en-GB"/>
        </w:rPr>
        <w:t xml:space="preserve">national </w:t>
      </w:r>
      <w:r w:rsidRPr="00E559E7">
        <w:rPr>
          <w:lang w:val="en-GB"/>
        </w:rPr>
        <w:t>security institution</w:t>
      </w:r>
      <w:r w:rsidR="002A0699">
        <w:rPr>
          <w:lang w:val="en-GB"/>
        </w:rPr>
        <w:t>s</w:t>
      </w:r>
      <w:r w:rsidRPr="00E559E7">
        <w:rPr>
          <w:lang w:val="en-GB"/>
        </w:rPr>
        <w:t>.</w:t>
      </w:r>
      <w:r w:rsidR="007D030D">
        <w:rPr>
          <w:lang w:val="en-GB"/>
        </w:rPr>
        <w:t xml:space="preserve"> </w:t>
      </w:r>
      <w:r w:rsidR="00DA30CA">
        <w:rPr>
          <w:lang w:val="en-GB"/>
        </w:rPr>
        <w:t>It enables these entities to</w:t>
      </w:r>
      <w:r w:rsidR="007D030D">
        <w:rPr>
          <w:lang w:val="en-GB"/>
        </w:rPr>
        <w:t xml:space="preserve"> </w:t>
      </w:r>
      <w:r w:rsidRPr="00E559E7">
        <w:rPr>
          <w:lang w:val="en-GB"/>
        </w:rPr>
        <w:t xml:space="preserve">assess their own stockpile management practices, identify strengths and weaknesses, and </w:t>
      </w:r>
      <w:r w:rsidR="00E806BA">
        <w:rPr>
          <w:lang w:val="en-GB"/>
        </w:rPr>
        <w:t xml:space="preserve">to </w:t>
      </w:r>
      <w:r w:rsidRPr="00E559E7">
        <w:rPr>
          <w:lang w:val="en-GB"/>
        </w:rPr>
        <w:t>inform internal planning and requests for support.</w:t>
      </w:r>
      <w:r w:rsidR="00EB10B5">
        <w:rPr>
          <w:lang w:val="en-GB"/>
        </w:rPr>
        <w:t xml:space="preserve"> </w:t>
      </w:r>
    </w:p>
    <w:p w14:paraId="42FD63CA" w14:textId="14274765" w:rsidR="003A3390" w:rsidRDefault="00897F98" w:rsidP="00E559E7">
      <w:pPr>
        <w:rPr>
          <w:lang w:val="en-GB"/>
        </w:rPr>
      </w:pPr>
      <w:r>
        <w:rPr>
          <w:lang w:val="en-GB"/>
        </w:rPr>
        <w:t>The AAMVS was originally intended to support the exchange of information on arms and ammunition capabilities amongst partners in different countries.</w:t>
      </w:r>
      <w:r w:rsidR="003A3390">
        <w:rPr>
          <w:lang w:val="en-GB"/>
        </w:rPr>
        <w:t xml:space="preserve"> In this context, </w:t>
      </w:r>
      <w:r>
        <w:rPr>
          <w:lang w:val="en-GB"/>
        </w:rPr>
        <w:t xml:space="preserve">a state’s exporting licensing authorities </w:t>
      </w:r>
      <w:r w:rsidR="003A3390">
        <w:rPr>
          <w:lang w:val="en-GB"/>
        </w:rPr>
        <w:t>can</w:t>
      </w:r>
      <w:r>
        <w:rPr>
          <w:lang w:val="en-GB"/>
        </w:rPr>
        <w:t xml:space="preserve"> u</w:t>
      </w:r>
      <w:r w:rsidRPr="00E559E7">
        <w:rPr>
          <w:lang w:val="en-GB"/>
        </w:rPr>
        <w:t>se the information as</w:t>
      </w:r>
      <w:r>
        <w:rPr>
          <w:lang w:val="en-GB"/>
        </w:rPr>
        <w:t xml:space="preserve"> part of an assessment on </w:t>
      </w:r>
      <w:r w:rsidRPr="00E559E7">
        <w:rPr>
          <w:lang w:val="en-GB"/>
        </w:rPr>
        <w:t>diversion risks</w:t>
      </w:r>
      <w:r w:rsidR="003A3390">
        <w:rPr>
          <w:lang w:val="en-GB"/>
        </w:rPr>
        <w:t xml:space="preserve">, inform decisions on arms and ammunition </w:t>
      </w:r>
      <w:r w:rsidR="00855774">
        <w:rPr>
          <w:lang w:val="en-GB"/>
        </w:rPr>
        <w:t>exports</w:t>
      </w:r>
      <w:r w:rsidR="003A3390">
        <w:rPr>
          <w:lang w:val="en-GB"/>
        </w:rPr>
        <w:t xml:space="preserve">, and support planning or coordination of capacity-building activities. </w:t>
      </w:r>
    </w:p>
    <w:p w14:paraId="042195A4" w14:textId="77777777" w:rsidR="00AC06D0" w:rsidRPr="00D248D0" w:rsidRDefault="00AC06D0" w:rsidP="00E559E7">
      <w:pPr>
        <w:rPr>
          <w:lang w:val="en-GB"/>
        </w:rPr>
      </w:pPr>
      <w:r w:rsidRPr="00D248D0">
        <w:rPr>
          <w:lang w:val="en-GB"/>
        </w:rPr>
        <w:t>The tool, however, serves a broader function. Internally, it supports capacity-building efforts by enabling end-users to prioritise areas for improvement, monitor progress over time, and communicate identified needs to relevant authorities, such as parent ministries or command structures.</w:t>
      </w:r>
    </w:p>
    <w:p w14:paraId="1CD9F465" w14:textId="7E38AB80" w:rsidR="00104D53" w:rsidRDefault="00AC06D0" w:rsidP="00E559E7">
      <w:pPr>
        <w:rPr>
          <w:lang w:val="en-GB"/>
        </w:rPr>
      </w:pPr>
      <w:r w:rsidRPr="00D248D0">
        <w:rPr>
          <w:lang w:val="en-GB"/>
        </w:rPr>
        <w:t>In addition, the tool supports p</w:t>
      </w:r>
      <w:r w:rsidR="00897F98" w:rsidRPr="0014598A">
        <w:rPr>
          <w:lang w:val="en-GB"/>
        </w:rPr>
        <w:t xml:space="preserve">olicy, planning and technical staff </w:t>
      </w:r>
      <w:r>
        <w:rPr>
          <w:lang w:val="en-GB"/>
        </w:rPr>
        <w:t>in comparing</w:t>
      </w:r>
      <w:r w:rsidR="00897F98" w:rsidRPr="0014598A">
        <w:rPr>
          <w:lang w:val="en-GB"/>
        </w:rPr>
        <w:t xml:space="preserve"> existing </w:t>
      </w:r>
      <w:r>
        <w:rPr>
          <w:lang w:val="en-GB"/>
        </w:rPr>
        <w:t xml:space="preserve">national </w:t>
      </w:r>
      <w:r w:rsidR="00897F98" w:rsidRPr="0014598A">
        <w:rPr>
          <w:lang w:val="en-GB"/>
        </w:rPr>
        <w:t>practices against international guidelines such as IATG and MOSAIC</w:t>
      </w:r>
      <w:r w:rsidR="00B862AA">
        <w:rPr>
          <w:lang w:val="en-GB"/>
        </w:rPr>
        <w:t xml:space="preserve">, and in formulating plans and strategies to achieve alignment with these </w:t>
      </w:r>
      <w:r w:rsidR="00B7158D">
        <w:rPr>
          <w:lang w:val="en-GB"/>
        </w:rPr>
        <w:t>frameworks.</w:t>
      </w:r>
      <w:r w:rsidR="00D248D0">
        <w:rPr>
          <w:lang w:val="en-GB"/>
        </w:rPr>
        <w:t xml:space="preserve"> </w:t>
      </w:r>
      <w:r w:rsidR="00B7158D">
        <w:rPr>
          <w:lang w:val="en-GB"/>
        </w:rPr>
        <w:t>When shared mo</w:t>
      </w:r>
      <w:r w:rsidR="001F4B7B">
        <w:rPr>
          <w:lang w:val="en-GB"/>
        </w:rPr>
        <w:t xml:space="preserve">re broadly, the AAMVS outputs may also be used </w:t>
      </w:r>
      <w:r w:rsidR="00D248D0">
        <w:rPr>
          <w:lang w:val="en-GB"/>
        </w:rPr>
        <w:t xml:space="preserve">by </w:t>
      </w:r>
      <w:r w:rsidR="00E559E7" w:rsidRPr="00E559E7">
        <w:rPr>
          <w:lang w:val="en-GB"/>
        </w:rPr>
        <w:t>international and regional organisations, donors and implementing partners</w:t>
      </w:r>
      <w:r w:rsidR="001F4B7B">
        <w:rPr>
          <w:lang w:val="en-GB"/>
        </w:rPr>
        <w:t xml:space="preserve">. In such cases, the results can </w:t>
      </w:r>
      <w:r w:rsidR="00E559E7" w:rsidRPr="00E559E7">
        <w:rPr>
          <w:lang w:val="en-GB"/>
        </w:rPr>
        <w:t>inform dialogue,</w:t>
      </w:r>
      <w:r w:rsidR="005C0A29">
        <w:rPr>
          <w:lang w:val="en-GB"/>
        </w:rPr>
        <w:t xml:space="preserve"> support tailoring of</w:t>
      </w:r>
      <w:r w:rsidR="00E559E7" w:rsidRPr="00E559E7">
        <w:rPr>
          <w:lang w:val="en-GB"/>
        </w:rPr>
        <w:t xml:space="preserve"> assistance programmes</w:t>
      </w:r>
      <w:r w:rsidR="00B834BC">
        <w:rPr>
          <w:lang w:val="en-GB"/>
        </w:rPr>
        <w:t>,</w:t>
      </w:r>
      <w:r w:rsidR="00E559E7" w:rsidRPr="00E559E7">
        <w:rPr>
          <w:lang w:val="en-GB"/>
        </w:rPr>
        <w:t xml:space="preserve"> and</w:t>
      </w:r>
      <w:r w:rsidR="005C0A29">
        <w:rPr>
          <w:lang w:val="en-GB"/>
        </w:rPr>
        <w:t xml:space="preserve"> help</w:t>
      </w:r>
      <w:r w:rsidR="00E559E7" w:rsidRPr="00E559E7">
        <w:rPr>
          <w:lang w:val="en-GB"/>
        </w:rPr>
        <w:t xml:space="preserve"> track the impact of support.</w:t>
      </w:r>
      <w:r w:rsidR="00837D42">
        <w:rPr>
          <w:lang w:val="en-GB"/>
        </w:rPr>
        <w:t xml:space="preserve"> </w:t>
      </w:r>
    </w:p>
    <w:p w14:paraId="7208B7FB" w14:textId="695B4E59" w:rsidR="00E559E7" w:rsidRDefault="005B0484" w:rsidP="00E559E7">
      <w:pPr>
        <w:rPr>
          <w:lang w:val="en-GB"/>
        </w:rPr>
      </w:pPr>
      <w:r w:rsidRPr="00350B6E">
        <w:rPr>
          <w:lang w:val="en-GB"/>
        </w:rPr>
        <w:t xml:space="preserve">The findings generated through the </w:t>
      </w:r>
      <w:r w:rsidR="00837D42">
        <w:rPr>
          <w:lang w:val="en-GB"/>
        </w:rPr>
        <w:t>AAMVS can</w:t>
      </w:r>
      <w:r>
        <w:rPr>
          <w:lang w:val="en-GB"/>
        </w:rPr>
        <w:t xml:space="preserve"> also</w:t>
      </w:r>
      <w:r w:rsidR="00837D42">
        <w:rPr>
          <w:lang w:val="en-GB"/>
        </w:rPr>
        <w:t xml:space="preserve"> directly support states </w:t>
      </w:r>
      <w:r w:rsidR="00704F69">
        <w:rPr>
          <w:lang w:val="en-GB"/>
        </w:rPr>
        <w:t xml:space="preserve">in meeting their reporting obligations under the </w:t>
      </w:r>
      <w:r w:rsidR="00837D42">
        <w:rPr>
          <w:lang w:val="en-GB"/>
        </w:rPr>
        <w:t xml:space="preserve">UN </w:t>
      </w:r>
      <w:r w:rsidR="00263CCF">
        <w:rPr>
          <w:lang w:val="en-GB"/>
        </w:rPr>
        <w:t xml:space="preserve">PoA </w:t>
      </w:r>
      <w:r w:rsidR="00837D42">
        <w:rPr>
          <w:lang w:val="en-GB"/>
        </w:rPr>
        <w:t xml:space="preserve">on SALW and the </w:t>
      </w:r>
      <w:r w:rsidR="001009D5">
        <w:rPr>
          <w:lang w:val="en-GB"/>
        </w:rPr>
        <w:t>GFA.</w:t>
      </w:r>
    </w:p>
    <w:p w14:paraId="06659B3F" w14:textId="6104408C" w:rsidR="00BE0B65" w:rsidRPr="00567F84" w:rsidRDefault="00543B17" w:rsidP="00F01C34">
      <w:pPr>
        <w:pStyle w:val="Heading2"/>
        <w:rPr>
          <w:color w:val="95B3D7" w:themeColor="accent1" w:themeTint="99"/>
          <w:lang w:val="en-GB"/>
        </w:rPr>
      </w:pPr>
      <w:r w:rsidRPr="00567F84">
        <w:rPr>
          <w:color w:val="95B3D7" w:themeColor="accent1" w:themeTint="99"/>
          <w:lang w:val="en-GB"/>
        </w:rPr>
        <w:t xml:space="preserve">3.2 Who </w:t>
      </w:r>
      <w:r w:rsidR="00D011F1" w:rsidRPr="00567F84">
        <w:rPr>
          <w:color w:val="95B3D7" w:themeColor="accent1" w:themeTint="99"/>
          <w:lang w:val="en-GB"/>
        </w:rPr>
        <w:t>should complete the tool</w:t>
      </w:r>
    </w:p>
    <w:p w14:paraId="10918EDD" w14:textId="46689165" w:rsidR="00416518" w:rsidRDefault="00F01C34" w:rsidP="00416518">
      <w:pPr>
        <w:rPr>
          <w:lang w:val="en-GB"/>
        </w:rPr>
      </w:pPr>
      <w:r w:rsidRPr="0014598A">
        <w:rPr>
          <w:lang w:val="en-GB"/>
        </w:rPr>
        <w:t xml:space="preserve">Officials completing the AAMVS questions should be </w:t>
      </w:r>
      <w:r w:rsidR="00C37D02" w:rsidRPr="00C37D02">
        <w:rPr>
          <w:lang w:val="en-GB"/>
        </w:rPr>
        <w:t>primarily from within the end</w:t>
      </w:r>
      <w:r w:rsidR="00C37D02" w:rsidRPr="00C37D02">
        <w:rPr>
          <w:rFonts w:ascii="Cambria Math" w:hAnsi="Cambria Math" w:cs="Cambria Math"/>
          <w:lang w:val="en-GB"/>
        </w:rPr>
        <w:t>‑</w:t>
      </w:r>
      <w:r w:rsidR="00C37D02" w:rsidRPr="00C37D02">
        <w:rPr>
          <w:lang w:val="en-GB"/>
        </w:rPr>
        <w:t>user organisation</w:t>
      </w:r>
      <w:r w:rsidR="00E559E7">
        <w:rPr>
          <w:lang w:val="en-GB"/>
        </w:rPr>
        <w:t xml:space="preserve"> being assessed. </w:t>
      </w:r>
      <w:r w:rsidR="00416518">
        <w:rPr>
          <w:lang w:val="en-GB"/>
        </w:rPr>
        <w:t xml:space="preserve">On some occasions, depending on </w:t>
      </w:r>
      <w:r w:rsidR="00560005">
        <w:rPr>
          <w:lang w:val="en-GB"/>
        </w:rPr>
        <w:t>the circumstances</w:t>
      </w:r>
      <w:r w:rsidR="005F7314">
        <w:rPr>
          <w:lang w:val="en-GB"/>
        </w:rPr>
        <w:t xml:space="preserve">, </w:t>
      </w:r>
      <w:r w:rsidR="00416518">
        <w:rPr>
          <w:lang w:val="en-GB"/>
        </w:rPr>
        <w:t xml:space="preserve">there might be a case for a central body like a </w:t>
      </w:r>
      <w:r w:rsidR="008F3ABA">
        <w:rPr>
          <w:lang w:val="en-GB"/>
        </w:rPr>
        <w:t>s</w:t>
      </w:r>
      <w:r w:rsidR="00416518">
        <w:rPr>
          <w:lang w:val="en-GB"/>
        </w:rPr>
        <w:t xml:space="preserve">mall </w:t>
      </w:r>
      <w:r w:rsidR="008F3ABA">
        <w:rPr>
          <w:lang w:val="en-GB"/>
        </w:rPr>
        <w:t>a</w:t>
      </w:r>
      <w:r w:rsidR="00416518">
        <w:rPr>
          <w:lang w:val="en-GB"/>
        </w:rPr>
        <w:t xml:space="preserve">rms </w:t>
      </w:r>
      <w:r w:rsidR="008F3ABA">
        <w:rPr>
          <w:lang w:val="en-GB"/>
        </w:rPr>
        <w:t>c</w:t>
      </w:r>
      <w:r w:rsidR="00416518">
        <w:rPr>
          <w:lang w:val="en-GB"/>
        </w:rPr>
        <w:t xml:space="preserve">ommission leading </w:t>
      </w:r>
      <w:r w:rsidR="001A74DB">
        <w:rPr>
          <w:lang w:val="en-GB"/>
        </w:rPr>
        <w:t xml:space="preserve">on </w:t>
      </w:r>
      <w:r w:rsidR="00416518">
        <w:rPr>
          <w:lang w:val="en-GB"/>
        </w:rPr>
        <w:t>the overall process</w:t>
      </w:r>
      <w:r w:rsidR="005F7314">
        <w:rPr>
          <w:lang w:val="en-GB"/>
        </w:rPr>
        <w:t>. It</w:t>
      </w:r>
      <w:r w:rsidR="007A0053">
        <w:rPr>
          <w:lang w:val="en-GB"/>
        </w:rPr>
        <w:t xml:space="preserve"> would then delegate </w:t>
      </w:r>
      <w:r w:rsidR="00416518">
        <w:rPr>
          <w:lang w:val="en-GB"/>
        </w:rPr>
        <w:t xml:space="preserve">certain tasks to the </w:t>
      </w:r>
      <w:r w:rsidR="00B81F1A">
        <w:rPr>
          <w:lang w:val="en-GB"/>
        </w:rPr>
        <w:t xml:space="preserve">specific </w:t>
      </w:r>
      <w:r w:rsidR="00416518">
        <w:rPr>
          <w:lang w:val="en-GB"/>
        </w:rPr>
        <w:t xml:space="preserve">end-user. </w:t>
      </w:r>
    </w:p>
    <w:p w14:paraId="6D110247" w14:textId="08D87C4E" w:rsidR="00F01C34" w:rsidRPr="0014598A" w:rsidRDefault="001A74DB" w:rsidP="00F01C34">
      <w:pPr>
        <w:rPr>
          <w:lang w:val="en-GB"/>
        </w:rPr>
      </w:pPr>
      <w:r>
        <w:rPr>
          <w:lang w:val="en-GB"/>
        </w:rPr>
        <w:t xml:space="preserve">For </w:t>
      </w:r>
      <w:r w:rsidR="00E93A1D">
        <w:rPr>
          <w:lang w:val="en-GB"/>
        </w:rPr>
        <w:t xml:space="preserve">answering the self-assessment questions, </w:t>
      </w:r>
      <w:r w:rsidR="00FD7B16">
        <w:rPr>
          <w:lang w:val="en-GB"/>
        </w:rPr>
        <w:t xml:space="preserve">it is recommended that </w:t>
      </w:r>
      <w:r w:rsidR="00E559E7">
        <w:rPr>
          <w:lang w:val="en-GB"/>
        </w:rPr>
        <w:t>a small team be formed t</w:t>
      </w:r>
      <w:r w:rsidR="00FD7B16">
        <w:rPr>
          <w:lang w:val="en-GB"/>
        </w:rPr>
        <w:t>o</w:t>
      </w:r>
      <w:r w:rsidR="00E559E7">
        <w:rPr>
          <w:lang w:val="en-GB"/>
        </w:rPr>
        <w:t xml:space="preserve"> bring to</w:t>
      </w:r>
      <w:r w:rsidR="00AF1C9A">
        <w:rPr>
          <w:lang w:val="en-GB"/>
        </w:rPr>
        <w:t>g</w:t>
      </w:r>
      <w:r w:rsidR="00E559E7">
        <w:rPr>
          <w:lang w:val="en-GB"/>
        </w:rPr>
        <w:t>ether those who</w:t>
      </w:r>
      <w:r w:rsidR="00C37D02" w:rsidRPr="00C37D02">
        <w:rPr>
          <w:lang w:val="en-GB"/>
        </w:rPr>
        <w:t xml:space="preserve"> </w:t>
      </w:r>
      <w:r w:rsidR="00E559E7" w:rsidRPr="00E559E7">
        <w:rPr>
          <w:lang w:val="en-GB"/>
        </w:rPr>
        <w:t>manage weapons and ammunition on a day</w:t>
      </w:r>
      <w:r w:rsidR="00E559E7" w:rsidRPr="00E559E7">
        <w:rPr>
          <w:rFonts w:ascii="Cambria Math" w:hAnsi="Cambria Math" w:cs="Cambria Math"/>
          <w:lang w:val="en-GB"/>
        </w:rPr>
        <w:t>‑</w:t>
      </w:r>
      <w:r w:rsidR="00E559E7" w:rsidRPr="00E559E7">
        <w:rPr>
          <w:lang w:val="en-GB"/>
        </w:rPr>
        <w:t>to</w:t>
      </w:r>
      <w:r w:rsidR="00E559E7" w:rsidRPr="00E559E7">
        <w:rPr>
          <w:rFonts w:ascii="Cambria Math" w:hAnsi="Cambria Math" w:cs="Cambria Math"/>
          <w:lang w:val="en-GB"/>
        </w:rPr>
        <w:t>‑</w:t>
      </w:r>
      <w:r w:rsidR="00E559E7" w:rsidRPr="00E559E7">
        <w:rPr>
          <w:lang w:val="en-GB"/>
        </w:rPr>
        <w:t>day basis and those responsible for policies, procedures, training and oversight.</w:t>
      </w:r>
      <w:r w:rsidR="00E737CE">
        <w:rPr>
          <w:lang w:val="en-GB"/>
        </w:rPr>
        <w:t xml:space="preserve"> </w:t>
      </w:r>
    </w:p>
    <w:p w14:paraId="152DF1D9" w14:textId="711FFC1C" w:rsidR="00F01C34" w:rsidRDefault="00F01C34" w:rsidP="00F01C34">
      <w:pPr>
        <w:rPr>
          <w:lang w:val="en-GB"/>
        </w:rPr>
      </w:pPr>
      <w:bookmarkStart w:id="1" w:name="OLE_LINK5"/>
      <w:r w:rsidRPr="0014598A">
        <w:rPr>
          <w:lang w:val="en-GB"/>
        </w:rPr>
        <w:t>T</w:t>
      </w:r>
      <w:r w:rsidR="00E559E7">
        <w:rPr>
          <w:lang w:val="en-GB"/>
        </w:rPr>
        <w:t>ypically, t</w:t>
      </w:r>
      <w:r w:rsidRPr="0014598A">
        <w:rPr>
          <w:lang w:val="en-GB"/>
        </w:rPr>
        <w:t>his</w:t>
      </w:r>
      <w:r w:rsidR="00E559E7">
        <w:rPr>
          <w:lang w:val="en-GB"/>
        </w:rPr>
        <w:t xml:space="preserve"> team will</w:t>
      </w:r>
      <w:r w:rsidRPr="0014598A">
        <w:rPr>
          <w:lang w:val="en-GB"/>
        </w:rPr>
        <w:t xml:space="preserve"> include:</w:t>
      </w:r>
    </w:p>
    <w:p w14:paraId="00341E97" w14:textId="224C09B8" w:rsidR="00E559E7" w:rsidRPr="00E559E7" w:rsidRDefault="00E559E7" w:rsidP="00E559E7">
      <w:pPr>
        <w:pStyle w:val="ListParagraph"/>
        <w:numPr>
          <w:ilvl w:val="0"/>
          <w:numId w:val="25"/>
        </w:numPr>
        <w:rPr>
          <w:lang w:val="en-GB"/>
        </w:rPr>
      </w:pPr>
      <w:r w:rsidRPr="00E559E7">
        <w:rPr>
          <w:lang w:val="en-GB"/>
        </w:rPr>
        <w:t xml:space="preserve">A designated focal point or coordinator, with sufficient seniority to convene colleagues, access relevant documentation and validate the final answers on behalf of the </w:t>
      </w:r>
      <w:r>
        <w:rPr>
          <w:lang w:val="en-GB"/>
        </w:rPr>
        <w:t>end-user</w:t>
      </w:r>
      <w:r w:rsidRPr="00E559E7">
        <w:rPr>
          <w:lang w:val="en-GB"/>
        </w:rPr>
        <w:t>.</w:t>
      </w:r>
    </w:p>
    <w:p w14:paraId="6A8640C6" w14:textId="04C539FB" w:rsidR="00E559E7" w:rsidRPr="00E559E7" w:rsidRDefault="00E559E7" w:rsidP="00E559E7">
      <w:pPr>
        <w:pStyle w:val="ListParagraph"/>
        <w:numPr>
          <w:ilvl w:val="0"/>
          <w:numId w:val="25"/>
        </w:numPr>
        <w:rPr>
          <w:lang w:val="en-GB"/>
        </w:rPr>
      </w:pPr>
      <w:r w:rsidRPr="00E559E7">
        <w:rPr>
          <w:lang w:val="en-GB"/>
        </w:rPr>
        <w:t>Logistics, armoury and stockpile management personnel (e.g. depot or armoury managers, supply and transport officers) who understand how weapons and ammunition are stored, issued, transported, accounted for and disposed.</w:t>
      </w:r>
    </w:p>
    <w:p w14:paraId="3B6FD56E" w14:textId="029C31F2" w:rsidR="00E559E7" w:rsidRPr="00E559E7" w:rsidRDefault="00E559E7" w:rsidP="00E559E7">
      <w:pPr>
        <w:pStyle w:val="ListParagraph"/>
        <w:numPr>
          <w:ilvl w:val="0"/>
          <w:numId w:val="25"/>
        </w:numPr>
        <w:rPr>
          <w:lang w:val="en-GB"/>
        </w:rPr>
      </w:pPr>
      <w:r w:rsidRPr="00E559E7">
        <w:rPr>
          <w:lang w:val="en-GB"/>
        </w:rPr>
        <w:lastRenderedPageBreak/>
        <w:t>Staff responsible for training, supervision and incident reporting who can explain how personnel are prepared for their roles, how compliance is monitored, and how losses, thefts</w:t>
      </w:r>
      <w:r w:rsidR="00646CD8">
        <w:rPr>
          <w:lang w:val="en-GB"/>
        </w:rPr>
        <w:t xml:space="preserve"> and </w:t>
      </w:r>
      <w:r w:rsidRPr="00E559E7">
        <w:rPr>
          <w:lang w:val="en-GB"/>
        </w:rPr>
        <w:t>accidents are handled.</w:t>
      </w:r>
    </w:p>
    <w:p w14:paraId="7A0CE9BC" w14:textId="31B5A5BC" w:rsidR="00E559E7" w:rsidRPr="00E559E7" w:rsidRDefault="00E559E7" w:rsidP="00E559E7">
      <w:pPr>
        <w:pStyle w:val="ListParagraph"/>
        <w:numPr>
          <w:ilvl w:val="0"/>
          <w:numId w:val="25"/>
        </w:numPr>
        <w:rPr>
          <w:lang w:val="en-GB"/>
        </w:rPr>
      </w:pPr>
      <w:r w:rsidRPr="00E559E7">
        <w:rPr>
          <w:lang w:val="en-GB"/>
        </w:rPr>
        <w:t>Where available, an internal safety, engineering or inspection officer</w:t>
      </w:r>
      <w:r w:rsidR="007C2DE7">
        <w:rPr>
          <w:lang w:val="en-GB"/>
        </w:rPr>
        <w:t>,</w:t>
      </w:r>
      <w:r w:rsidRPr="00E559E7">
        <w:rPr>
          <w:lang w:val="en-GB"/>
        </w:rPr>
        <w:t xml:space="preserve"> able to speak to infrastructure standards, risk assessments, inspections and follow</w:t>
      </w:r>
      <w:r w:rsidRPr="00E559E7">
        <w:rPr>
          <w:rFonts w:ascii="Cambria Math" w:hAnsi="Cambria Math" w:cs="Cambria Math"/>
          <w:lang w:val="en-GB"/>
        </w:rPr>
        <w:t>‑</w:t>
      </w:r>
      <w:r w:rsidRPr="00E559E7">
        <w:rPr>
          <w:lang w:val="en-GB"/>
        </w:rPr>
        <w:t>up measures.</w:t>
      </w:r>
    </w:p>
    <w:p w14:paraId="4C9F3A9D" w14:textId="38CC78C2" w:rsidR="00FF5F35" w:rsidRDefault="00E559E7" w:rsidP="00FF5F35">
      <w:pPr>
        <w:rPr>
          <w:lang w:val="en-GB"/>
        </w:rPr>
      </w:pPr>
      <w:r w:rsidRPr="00E559E7">
        <w:rPr>
          <w:lang w:val="en-GB"/>
        </w:rPr>
        <w:t xml:space="preserve">Depending on its mandate and structure, the </w:t>
      </w:r>
      <w:r w:rsidR="006E3DE6">
        <w:rPr>
          <w:lang w:val="en-GB"/>
        </w:rPr>
        <w:t xml:space="preserve">team </w:t>
      </w:r>
      <w:r w:rsidRPr="00E559E7">
        <w:rPr>
          <w:lang w:val="en-GB"/>
        </w:rPr>
        <w:t>m</w:t>
      </w:r>
      <w:r w:rsidR="004B2112">
        <w:rPr>
          <w:lang w:val="en-GB"/>
        </w:rPr>
        <w:t xml:space="preserve">ight </w:t>
      </w:r>
      <w:r w:rsidRPr="00E559E7">
        <w:rPr>
          <w:lang w:val="en-GB"/>
        </w:rPr>
        <w:t>request specific factual inputs from parent ministries or specialised agencies</w:t>
      </w:r>
      <w:r w:rsidR="00EB0D80">
        <w:rPr>
          <w:lang w:val="en-GB"/>
        </w:rPr>
        <w:t xml:space="preserve">, </w:t>
      </w:r>
      <w:r w:rsidRPr="00E559E7">
        <w:rPr>
          <w:lang w:val="en-GB"/>
        </w:rPr>
        <w:t>for example on national legislation, overarching regulations or export</w:t>
      </w:r>
      <w:r w:rsidRPr="00E559E7">
        <w:rPr>
          <w:rFonts w:ascii="Cambria Math" w:hAnsi="Cambria Math" w:cs="Cambria Math"/>
          <w:lang w:val="en-GB"/>
        </w:rPr>
        <w:t>‑</w:t>
      </w:r>
      <w:r w:rsidRPr="00E559E7">
        <w:rPr>
          <w:lang w:val="en-GB"/>
        </w:rPr>
        <w:t>control procedures</w:t>
      </w:r>
      <w:r w:rsidR="00DD613D">
        <w:rPr>
          <w:lang w:val="en-GB"/>
        </w:rPr>
        <w:t>. However</w:t>
      </w:r>
      <w:r w:rsidR="00D00AB7">
        <w:rPr>
          <w:lang w:val="en-GB"/>
        </w:rPr>
        <w:t>,</w:t>
      </w:r>
      <w:r w:rsidR="00DD613D">
        <w:rPr>
          <w:lang w:val="en-GB"/>
        </w:rPr>
        <w:t xml:space="preserve"> </w:t>
      </w:r>
      <w:r w:rsidRPr="00E559E7">
        <w:rPr>
          <w:lang w:val="en-GB"/>
        </w:rPr>
        <w:t xml:space="preserve">the assessment should remain focused on the capabilities and practices of the </w:t>
      </w:r>
      <w:r>
        <w:rPr>
          <w:lang w:val="en-GB"/>
        </w:rPr>
        <w:t>end-user</w:t>
      </w:r>
      <w:r w:rsidRPr="00E559E7">
        <w:rPr>
          <w:lang w:val="en-GB"/>
        </w:rPr>
        <w:t xml:space="preserve"> itself. </w:t>
      </w:r>
    </w:p>
    <w:p w14:paraId="2678154C" w14:textId="75622225" w:rsidR="00E559E7" w:rsidRDefault="00E559E7" w:rsidP="00E559E7">
      <w:pPr>
        <w:rPr>
          <w:lang w:val="en-GB"/>
        </w:rPr>
      </w:pPr>
      <w:r w:rsidRPr="00E559E7">
        <w:rPr>
          <w:lang w:val="en-GB"/>
        </w:rPr>
        <w:t xml:space="preserve">The completed </w:t>
      </w:r>
      <w:r w:rsidR="00202E74">
        <w:rPr>
          <w:lang w:val="en-GB"/>
        </w:rPr>
        <w:t>questions</w:t>
      </w:r>
      <w:r w:rsidRPr="00E559E7">
        <w:rPr>
          <w:lang w:val="en-GB"/>
        </w:rPr>
        <w:t xml:space="preserve"> and</w:t>
      </w:r>
      <w:r w:rsidR="00202E74">
        <w:rPr>
          <w:lang w:val="en-GB"/>
        </w:rPr>
        <w:t xml:space="preserve"> </w:t>
      </w:r>
      <w:r w:rsidRPr="00E559E7">
        <w:rPr>
          <w:lang w:val="en-GB"/>
        </w:rPr>
        <w:t>results should be reviewed and formally endorsed by the</w:t>
      </w:r>
      <w:r w:rsidR="00633596">
        <w:rPr>
          <w:lang w:val="en-GB"/>
        </w:rPr>
        <w:t xml:space="preserve"> </w:t>
      </w:r>
      <w:r w:rsidR="00263CCF">
        <w:rPr>
          <w:lang w:val="en-GB"/>
        </w:rPr>
        <w:t>designated authority</w:t>
      </w:r>
      <w:r w:rsidR="00350B6E">
        <w:rPr>
          <w:lang w:val="en-GB"/>
        </w:rPr>
        <w:t>, typically a senior level person from the appropriate ministry or armed service</w:t>
      </w:r>
      <w:r w:rsidR="00452D39">
        <w:rPr>
          <w:lang w:val="en-GB"/>
        </w:rPr>
        <w:t xml:space="preserve">. </w:t>
      </w:r>
      <w:r w:rsidR="000D0E14">
        <w:rPr>
          <w:lang w:val="en-GB"/>
        </w:rPr>
        <w:t xml:space="preserve">This should precede sharing the outputs with </w:t>
      </w:r>
      <w:r w:rsidR="0007646E">
        <w:rPr>
          <w:lang w:val="en-GB"/>
        </w:rPr>
        <w:t xml:space="preserve">others, </w:t>
      </w:r>
      <w:r w:rsidR="00B3665C">
        <w:rPr>
          <w:lang w:val="en-GB"/>
        </w:rPr>
        <w:t>such as</w:t>
      </w:r>
      <w:r w:rsidR="00BB3951">
        <w:rPr>
          <w:lang w:val="en-GB"/>
        </w:rPr>
        <w:t xml:space="preserve"> relevant </w:t>
      </w:r>
      <w:r w:rsidR="00767FC3">
        <w:rPr>
          <w:lang w:val="en-GB"/>
        </w:rPr>
        <w:t xml:space="preserve">exporting </w:t>
      </w:r>
      <w:r w:rsidR="00263CCF">
        <w:rPr>
          <w:lang w:val="en-GB"/>
        </w:rPr>
        <w:t>country, external</w:t>
      </w:r>
      <w:r w:rsidR="00CC3EBC">
        <w:rPr>
          <w:lang w:val="en-GB"/>
        </w:rPr>
        <w:t xml:space="preserve"> </w:t>
      </w:r>
      <w:r w:rsidR="00610E86">
        <w:rPr>
          <w:lang w:val="en-GB"/>
        </w:rPr>
        <w:t>partners</w:t>
      </w:r>
      <w:r w:rsidR="00DD131D">
        <w:rPr>
          <w:lang w:val="en-GB"/>
        </w:rPr>
        <w:t>,</w:t>
      </w:r>
      <w:r w:rsidR="006F4E2A">
        <w:rPr>
          <w:lang w:val="en-GB"/>
        </w:rPr>
        <w:t xml:space="preserve"> or</w:t>
      </w:r>
      <w:r w:rsidR="00DD131D">
        <w:rPr>
          <w:lang w:val="en-GB"/>
        </w:rPr>
        <w:t xml:space="preserve"> </w:t>
      </w:r>
      <w:r w:rsidR="0040671C">
        <w:rPr>
          <w:lang w:val="en-GB"/>
        </w:rPr>
        <w:t xml:space="preserve">cross-government </w:t>
      </w:r>
      <w:r w:rsidR="00C43BB3">
        <w:rPr>
          <w:lang w:val="en-GB"/>
        </w:rPr>
        <w:t>stakeholders</w:t>
      </w:r>
      <w:r w:rsidR="00D378EB">
        <w:rPr>
          <w:lang w:val="en-GB"/>
        </w:rPr>
        <w:t xml:space="preserve">. </w:t>
      </w:r>
      <w:r w:rsidR="006F4E2A">
        <w:rPr>
          <w:lang w:val="en-GB"/>
        </w:rPr>
        <w:t xml:space="preserve"> </w:t>
      </w:r>
      <w:r w:rsidR="00922BA0">
        <w:rPr>
          <w:lang w:val="en-GB"/>
        </w:rPr>
        <w:t xml:space="preserve"> </w:t>
      </w:r>
    </w:p>
    <w:bookmarkEnd w:id="1"/>
    <w:p w14:paraId="644F1C7A" w14:textId="57574B4C" w:rsidR="00BE0B65" w:rsidRPr="00567F84" w:rsidRDefault="00543B17" w:rsidP="00F01C34">
      <w:pPr>
        <w:pStyle w:val="Heading2"/>
        <w:rPr>
          <w:color w:val="95B3D7" w:themeColor="accent1" w:themeTint="99"/>
          <w:lang w:val="en-GB"/>
        </w:rPr>
      </w:pPr>
      <w:r w:rsidRPr="00567F84">
        <w:rPr>
          <w:color w:val="95B3D7" w:themeColor="accent1" w:themeTint="99"/>
          <w:lang w:val="en-GB"/>
        </w:rPr>
        <w:t xml:space="preserve">3.3 Who </w:t>
      </w:r>
      <w:r w:rsidR="00D011F1" w:rsidRPr="00567F84">
        <w:rPr>
          <w:color w:val="95B3D7" w:themeColor="accent1" w:themeTint="99"/>
          <w:lang w:val="en-GB"/>
        </w:rPr>
        <w:t>c</w:t>
      </w:r>
      <w:r w:rsidRPr="00567F84">
        <w:rPr>
          <w:color w:val="95B3D7" w:themeColor="accent1" w:themeTint="99"/>
          <w:lang w:val="en-GB"/>
        </w:rPr>
        <w:t xml:space="preserve">an </w:t>
      </w:r>
      <w:r w:rsidR="00D011F1" w:rsidRPr="00567F84">
        <w:rPr>
          <w:color w:val="95B3D7" w:themeColor="accent1" w:themeTint="99"/>
          <w:lang w:val="en-GB"/>
        </w:rPr>
        <w:t>s</w:t>
      </w:r>
      <w:r w:rsidRPr="00567F84">
        <w:rPr>
          <w:color w:val="95B3D7" w:themeColor="accent1" w:themeTint="99"/>
          <w:lang w:val="en-GB"/>
        </w:rPr>
        <w:t xml:space="preserve">upport or </w:t>
      </w:r>
      <w:r w:rsidR="00D011F1" w:rsidRPr="00567F84">
        <w:rPr>
          <w:color w:val="95B3D7" w:themeColor="accent1" w:themeTint="99"/>
          <w:lang w:val="en-GB"/>
        </w:rPr>
        <w:t>f</w:t>
      </w:r>
      <w:r w:rsidRPr="00567F84">
        <w:rPr>
          <w:color w:val="95B3D7" w:themeColor="accent1" w:themeTint="99"/>
          <w:lang w:val="en-GB"/>
        </w:rPr>
        <w:t xml:space="preserve">acilitate the </w:t>
      </w:r>
      <w:r w:rsidR="00D011F1" w:rsidRPr="00567F84">
        <w:rPr>
          <w:color w:val="95B3D7" w:themeColor="accent1" w:themeTint="99"/>
          <w:lang w:val="en-GB"/>
        </w:rPr>
        <w:t>a</w:t>
      </w:r>
      <w:r w:rsidRPr="00567F84">
        <w:rPr>
          <w:color w:val="95B3D7" w:themeColor="accent1" w:themeTint="99"/>
          <w:lang w:val="en-GB"/>
        </w:rPr>
        <w:t>ssessment</w:t>
      </w:r>
    </w:p>
    <w:p w14:paraId="127A7668" w14:textId="48077BB8" w:rsidR="0066250E" w:rsidRDefault="0066250E" w:rsidP="000E2686">
      <w:pPr>
        <w:rPr>
          <w:lang w:val="en-GB"/>
        </w:rPr>
      </w:pPr>
      <w:r>
        <w:rPr>
          <w:lang w:val="en-GB"/>
        </w:rPr>
        <w:t xml:space="preserve">The </w:t>
      </w:r>
      <w:r w:rsidR="001D231D">
        <w:rPr>
          <w:lang w:val="en-GB"/>
        </w:rPr>
        <w:t>GICHD-AMAT</w:t>
      </w:r>
      <w:r>
        <w:rPr>
          <w:lang w:val="en-GB"/>
        </w:rPr>
        <w:t xml:space="preserve"> is available for answering questions about the tool or supporting its use. Other ammunition technicians familiar with the Standardised Assessment Methodology</w:t>
      </w:r>
      <w:r>
        <w:rPr>
          <w:rStyle w:val="FootnoteReference"/>
          <w:lang w:val="en-GB"/>
        </w:rPr>
        <w:footnoteReference w:id="3"/>
      </w:r>
      <w:r>
        <w:rPr>
          <w:lang w:val="en-GB"/>
        </w:rPr>
        <w:t xml:space="preserve"> from the </w:t>
      </w:r>
      <w:r w:rsidRPr="00350B6E">
        <w:rPr>
          <w:i/>
          <w:iCs/>
          <w:lang w:val="en-GB"/>
        </w:rPr>
        <w:t xml:space="preserve">UN </w:t>
      </w:r>
      <w:r w:rsidR="00350B6E" w:rsidRPr="00350B6E">
        <w:rPr>
          <w:i/>
          <w:iCs/>
          <w:lang w:val="en-GB"/>
        </w:rPr>
        <w:t>Safe</w:t>
      </w:r>
      <w:r w:rsidR="00350B6E">
        <w:rPr>
          <w:i/>
          <w:iCs/>
          <w:lang w:val="en-GB"/>
        </w:rPr>
        <w:t>G</w:t>
      </w:r>
      <w:r w:rsidR="00350B6E" w:rsidRPr="00350B6E">
        <w:rPr>
          <w:i/>
          <w:iCs/>
          <w:lang w:val="en-GB"/>
        </w:rPr>
        <w:t>uard</w:t>
      </w:r>
      <w:r w:rsidRPr="00350B6E">
        <w:rPr>
          <w:i/>
          <w:iCs/>
          <w:lang w:val="en-GB"/>
        </w:rPr>
        <w:t xml:space="preserve"> Programme</w:t>
      </w:r>
      <w:r>
        <w:rPr>
          <w:lang w:val="en-GB"/>
        </w:rPr>
        <w:t xml:space="preserve"> </w:t>
      </w:r>
      <w:r w:rsidR="00350B6E">
        <w:rPr>
          <w:lang w:val="en-GB"/>
        </w:rPr>
        <w:t>are</w:t>
      </w:r>
      <w:r>
        <w:rPr>
          <w:lang w:val="en-GB"/>
        </w:rPr>
        <w:t xml:space="preserve"> familiar with the methodology and questions and therefore will be in a position to support the completion of the self-assessment.  </w:t>
      </w:r>
    </w:p>
    <w:p w14:paraId="2619DFD2" w14:textId="0A9FF9D7" w:rsidR="00BE0B65" w:rsidRPr="0014598A" w:rsidRDefault="00543B17" w:rsidP="003E776F">
      <w:pPr>
        <w:pStyle w:val="Heading1"/>
        <w:spacing w:before="200"/>
      </w:pPr>
      <w:r w:rsidRPr="0014598A">
        <w:t xml:space="preserve">How to </w:t>
      </w:r>
      <w:r w:rsidR="00D011F1" w:rsidRPr="00E616C3">
        <w:t>u</w:t>
      </w:r>
      <w:r w:rsidRPr="00E616C3">
        <w:t>se</w:t>
      </w:r>
      <w:r w:rsidRPr="0014598A">
        <w:t xml:space="preserve"> and </w:t>
      </w:r>
      <w:r w:rsidR="00D011F1">
        <w:t>c</w:t>
      </w:r>
      <w:r w:rsidRPr="0014598A">
        <w:t xml:space="preserve">omplete the </w:t>
      </w:r>
      <w:r w:rsidR="00D011F1">
        <w:t>t</w:t>
      </w:r>
      <w:r w:rsidRPr="0014598A">
        <w:t>ool</w:t>
      </w:r>
    </w:p>
    <w:p w14:paraId="33935F28" w14:textId="01D87913" w:rsidR="00D011F1" w:rsidRPr="00567F84" w:rsidRDefault="009655AC" w:rsidP="00D011F1">
      <w:pPr>
        <w:pStyle w:val="Heading2"/>
        <w:rPr>
          <w:color w:val="95B3D7" w:themeColor="accent1" w:themeTint="99"/>
          <w:lang w:val="en-GB"/>
        </w:rPr>
      </w:pPr>
      <w:r w:rsidRPr="00567F84">
        <w:rPr>
          <w:color w:val="95B3D7" w:themeColor="accent1" w:themeTint="99"/>
          <w:lang w:val="en-GB"/>
        </w:rPr>
        <w:t xml:space="preserve">4.1 </w:t>
      </w:r>
      <w:r w:rsidR="00D011F1" w:rsidRPr="00567F84">
        <w:rPr>
          <w:color w:val="95B3D7" w:themeColor="accent1" w:themeTint="99"/>
          <w:lang w:val="en-GB"/>
        </w:rPr>
        <w:t>Understanding the functional sections and questions</w:t>
      </w:r>
    </w:p>
    <w:p w14:paraId="2E90EF74" w14:textId="68EE20D2" w:rsidR="00D011F1" w:rsidRDefault="00D011F1" w:rsidP="00D011F1">
      <w:pPr>
        <w:rPr>
          <w:lang w:val="en-GB"/>
        </w:rPr>
      </w:pPr>
      <w:r w:rsidRPr="00D011F1">
        <w:rPr>
          <w:lang w:val="en-GB"/>
        </w:rPr>
        <w:t xml:space="preserve">The AAMVS questionnaire is organised into </w:t>
      </w:r>
      <w:r w:rsidRPr="00C0731A">
        <w:rPr>
          <w:lang w:val="en-GB"/>
        </w:rPr>
        <w:t>functional sections that</w:t>
      </w:r>
      <w:r w:rsidRPr="00D011F1">
        <w:rPr>
          <w:lang w:val="en-GB"/>
        </w:rPr>
        <w:t xml:space="preserve"> </w:t>
      </w:r>
      <w:r w:rsidR="00043431">
        <w:rPr>
          <w:lang w:val="en-GB"/>
        </w:rPr>
        <w:t xml:space="preserve">constitute </w:t>
      </w:r>
      <w:r w:rsidRPr="00D011F1">
        <w:rPr>
          <w:lang w:val="en-GB"/>
        </w:rPr>
        <w:t>the main components</w:t>
      </w:r>
      <w:r>
        <w:rPr>
          <w:lang w:val="en-GB"/>
        </w:rPr>
        <w:t xml:space="preserve"> </w:t>
      </w:r>
      <w:r w:rsidRPr="00D011F1">
        <w:rPr>
          <w:lang w:val="en-GB"/>
        </w:rPr>
        <w:t>of safe and secure arms and ammunition management</w:t>
      </w:r>
      <w:r w:rsidR="00D91FB1">
        <w:rPr>
          <w:lang w:val="en-GB"/>
        </w:rPr>
        <w:t>, based on capability enabling lines</w:t>
      </w:r>
      <w:r w:rsidR="00350B6E">
        <w:rPr>
          <w:lang w:val="en-GB"/>
        </w:rPr>
        <w:t>, as per the IATG</w:t>
      </w:r>
      <w:r w:rsidRPr="00D011F1">
        <w:rPr>
          <w:lang w:val="en-GB"/>
        </w:rPr>
        <w:t>.</w:t>
      </w:r>
      <w:r w:rsidR="00D91FB1">
        <w:rPr>
          <w:lang w:val="en-GB"/>
        </w:rPr>
        <w:t xml:space="preserve"> </w:t>
      </w:r>
      <w:r>
        <w:rPr>
          <w:lang w:val="en-GB"/>
        </w:rPr>
        <w:t>The sections are</w:t>
      </w:r>
      <w:r w:rsidR="00D91FB1">
        <w:rPr>
          <w:lang w:val="en-GB"/>
        </w:rPr>
        <w:t xml:space="preserve"> as follows</w:t>
      </w:r>
      <w:r>
        <w:rPr>
          <w:lang w:val="en-GB"/>
        </w:rPr>
        <w:t xml:space="preserve">: </w:t>
      </w:r>
    </w:p>
    <w:p w14:paraId="55F54516" w14:textId="6BC6394B" w:rsidR="00D011F1" w:rsidRPr="00D011F1" w:rsidRDefault="00D011F1" w:rsidP="00D011F1">
      <w:pPr>
        <w:pStyle w:val="ListParagraph"/>
        <w:numPr>
          <w:ilvl w:val="0"/>
          <w:numId w:val="16"/>
        </w:numPr>
        <w:rPr>
          <w:lang w:val="en-GB"/>
        </w:rPr>
      </w:pPr>
      <w:r w:rsidRPr="00D011F1">
        <w:rPr>
          <w:lang w:val="en-GB"/>
        </w:rPr>
        <w:t>Legislation &amp; Regulations</w:t>
      </w:r>
    </w:p>
    <w:p w14:paraId="3D6833AF" w14:textId="77777777" w:rsidR="00D011F1" w:rsidRPr="00D011F1" w:rsidRDefault="00D011F1" w:rsidP="00D011F1">
      <w:pPr>
        <w:pStyle w:val="ListParagraph"/>
        <w:numPr>
          <w:ilvl w:val="0"/>
          <w:numId w:val="16"/>
        </w:numPr>
        <w:rPr>
          <w:lang w:val="en-GB"/>
        </w:rPr>
      </w:pPr>
      <w:r w:rsidRPr="00D011F1">
        <w:rPr>
          <w:lang w:val="en-GB"/>
        </w:rPr>
        <w:t>Organization</w:t>
      </w:r>
    </w:p>
    <w:p w14:paraId="6193A07B" w14:textId="77777777" w:rsidR="00D011F1" w:rsidRPr="00D011F1" w:rsidRDefault="00D011F1" w:rsidP="00D011F1">
      <w:pPr>
        <w:pStyle w:val="ListParagraph"/>
        <w:numPr>
          <w:ilvl w:val="0"/>
          <w:numId w:val="16"/>
        </w:numPr>
        <w:rPr>
          <w:lang w:val="en-GB"/>
        </w:rPr>
      </w:pPr>
      <w:r w:rsidRPr="00D011F1">
        <w:rPr>
          <w:lang w:val="en-GB"/>
        </w:rPr>
        <w:t xml:space="preserve">Safety </w:t>
      </w:r>
    </w:p>
    <w:p w14:paraId="77807BB4" w14:textId="77777777" w:rsidR="00D011F1" w:rsidRPr="00D011F1" w:rsidRDefault="00D011F1" w:rsidP="00D011F1">
      <w:pPr>
        <w:pStyle w:val="ListParagraph"/>
        <w:numPr>
          <w:ilvl w:val="0"/>
          <w:numId w:val="16"/>
        </w:numPr>
        <w:rPr>
          <w:lang w:val="en-GB"/>
        </w:rPr>
      </w:pPr>
      <w:r w:rsidRPr="00D011F1">
        <w:rPr>
          <w:lang w:val="en-GB"/>
        </w:rPr>
        <w:t>Security</w:t>
      </w:r>
    </w:p>
    <w:p w14:paraId="17168D3F" w14:textId="77777777" w:rsidR="00D011F1" w:rsidRPr="00D011F1" w:rsidRDefault="00D011F1" w:rsidP="00D011F1">
      <w:pPr>
        <w:pStyle w:val="ListParagraph"/>
        <w:numPr>
          <w:ilvl w:val="0"/>
          <w:numId w:val="16"/>
        </w:numPr>
        <w:rPr>
          <w:lang w:val="en-GB"/>
        </w:rPr>
      </w:pPr>
      <w:r w:rsidRPr="00D011F1">
        <w:rPr>
          <w:lang w:val="en-GB"/>
        </w:rPr>
        <w:t>Personnel</w:t>
      </w:r>
    </w:p>
    <w:p w14:paraId="57357018" w14:textId="77777777" w:rsidR="00D011F1" w:rsidRPr="00D011F1" w:rsidRDefault="00D011F1" w:rsidP="00D011F1">
      <w:pPr>
        <w:pStyle w:val="ListParagraph"/>
        <w:numPr>
          <w:ilvl w:val="0"/>
          <w:numId w:val="16"/>
        </w:numPr>
        <w:rPr>
          <w:lang w:val="en-GB"/>
        </w:rPr>
      </w:pPr>
      <w:r w:rsidRPr="00D011F1">
        <w:rPr>
          <w:lang w:val="en-GB"/>
        </w:rPr>
        <w:t>Training</w:t>
      </w:r>
    </w:p>
    <w:p w14:paraId="381A2A20" w14:textId="77777777" w:rsidR="00D011F1" w:rsidRPr="00D011F1" w:rsidRDefault="00D011F1" w:rsidP="00D011F1">
      <w:pPr>
        <w:pStyle w:val="ListParagraph"/>
        <w:numPr>
          <w:ilvl w:val="0"/>
          <w:numId w:val="16"/>
        </w:numPr>
        <w:rPr>
          <w:lang w:val="en-GB"/>
        </w:rPr>
      </w:pPr>
      <w:r w:rsidRPr="00D011F1">
        <w:rPr>
          <w:lang w:val="en-GB"/>
        </w:rPr>
        <w:t>Infrastructure</w:t>
      </w:r>
    </w:p>
    <w:p w14:paraId="5ECEEC8F" w14:textId="77777777" w:rsidR="00D011F1" w:rsidRPr="00D011F1" w:rsidRDefault="00D011F1" w:rsidP="00D011F1">
      <w:pPr>
        <w:pStyle w:val="ListParagraph"/>
        <w:numPr>
          <w:ilvl w:val="0"/>
          <w:numId w:val="16"/>
        </w:numPr>
        <w:rPr>
          <w:lang w:val="en-GB"/>
        </w:rPr>
      </w:pPr>
      <w:r w:rsidRPr="00D011F1">
        <w:rPr>
          <w:lang w:val="en-GB"/>
        </w:rPr>
        <w:t>Finance</w:t>
      </w:r>
    </w:p>
    <w:p w14:paraId="0A30C7CF" w14:textId="4356091C" w:rsidR="00D011F1" w:rsidRPr="00EE7AB9" w:rsidRDefault="00D011F1" w:rsidP="00D011F1">
      <w:pPr>
        <w:pStyle w:val="ListParagraph"/>
        <w:numPr>
          <w:ilvl w:val="0"/>
          <w:numId w:val="16"/>
        </w:numPr>
        <w:rPr>
          <w:lang w:val="en-GB"/>
        </w:rPr>
      </w:pPr>
      <w:r w:rsidRPr="00EE7AB9">
        <w:rPr>
          <w:lang w:val="en-GB"/>
        </w:rPr>
        <w:t>Materiel Acquisition</w:t>
      </w:r>
    </w:p>
    <w:p w14:paraId="37B64185" w14:textId="51E84CEF" w:rsidR="00D011F1" w:rsidRPr="00D011F1" w:rsidRDefault="00D011F1" w:rsidP="00D011F1">
      <w:pPr>
        <w:rPr>
          <w:lang w:val="en-GB"/>
        </w:rPr>
      </w:pPr>
      <w:r w:rsidRPr="00D011F1">
        <w:rPr>
          <w:lang w:val="en-GB"/>
        </w:rPr>
        <w:t xml:space="preserve">Each section </w:t>
      </w:r>
      <w:r w:rsidR="00B30BC1">
        <w:rPr>
          <w:lang w:val="en-GB"/>
        </w:rPr>
        <w:t xml:space="preserve">contains a </w:t>
      </w:r>
      <w:r w:rsidRPr="00D011F1">
        <w:rPr>
          <w:lang w:val="en-GB"/>
        </w:rPr>
        <w:t>group</w:t>
      </w:r>
      <w:r w:rsidR="005A375A">
        <w:rPr>
          <w:lang w:val="en-GB"/>
        </w:rPr>
        <w:t xml:space="preserve"> of </w:t>
      </w:r>
      <w:r w:rsidRPr="00D011F1">
        <w:rPr>
          <w:lang w:val="en-GB"/>
        </w:rPr>
        <w:t>related questions so that users can assess one part of the</w:t>
      </w:r>
      <w:r w:rsidR="00350B6E">
        <w:rPr>
          <w:lang w:val="en-GB"/>
        </w:rPr>
        <w:t>ir management</w:t>
      </w:r>
      <w:r w:rsidRPr="00D011F1">
        <w:rPr>
          <w:lang w:val="en-GB"/>
        </w:rPr>
        <w:t xml:space="preserve"> system at a time and then see how those parts fit into an overall capability picture. The technical </w:t>
      </w:r>
      <w:r w:rsidR="00C039BB">
        <w:rPr>
          <w:lang w:val="en-GB"/>
        </w:rPr>
        <w:t xml:space="preserve">aspects are more </w:t>
      </w:r>
      <w:r w:rsidRPr="00D011F1">
        <w:rPr>
          <w:lang w:val="en-GB"/>
        </w:rPr>
        <w:t>detail</w:t>
      </w:r>
      <w:r w:rsidR="00D87D61">
        <w:rPr>
          <w:lang w:val="en-GB"/>
        </w:rPr>
        <w:t>ed</w:t>
      </w:r>
      <w:r w:rsidRPr="00D011F1">
        <w:rPr>
          <w:lang w:val="en-GB"/>
        </w:rPr>
        <w:t xml:space="preserve"> </w:t>
      </w:r>
      <w:r w:rsidR="00D87D61">
        <w:rPr>
          <w:lang w:val="en-GB"/>
        </w:rPr>
        <w:t>i</w:t>
      </w:r>
      <w:r w:rsidRPr="00D011F1">
        <w:rPr>
          <w:lang w:val="en-GB"/>
        </w:rPr>
        <w:t>n some sections, but the structure is consistent throughout, with each question scored on the same 1–5 maturity scale</w:t>
      </w:r>
      <w:r w:rsidR="00883E06">
        <w:rPr>
          <w:lang w:val="en-GB"/>
        </w:rPr>
        <w:t xml:space="preserve"> </w:t>
      </w:r>
      <w:r w:rsidR="00E37A82">
        <w:rPr>
          <w:lang w:val="en-GB"/>
        </w:rPr>
        <w:t xml:space="preserve">(with </w:t>
      </w:r>
      <w:r w:rsidR="00F81FD2">
        <w:rPr>
          <w:lang w:val="en-GB"/>
        </w:rPr>
        <w:t xml:space="preserve">5 representing the </w:t>
      </w:r>
      <w:r w:rsidR="00B13C72">
        <w:rPr>
          <w:lang w:val="en-GB"/>
        </w:rPr>
        <w:t xml:space="preserve">highest </w:t>
      </w:r>
      <w:r w:rsidR="00130D52">
        <w:rPr>
          <w:lang w:val="en-GB"/>
        </w:rPr>
        <w:t>capability)</w:t>
      </w:r>
      <w:r w:rsidRPr="00D011F1">
        <w:rPr>
          <w:lang w:val="en-GB"/>
        </w:rPr>
        <w:t>.</w:t>
      </w:r>
    </w:p>
    <w:p w14:paraId="1F73B930" w14:textId="3E49E57F" w:rsidR="00D011F1" w:rsidRPr="00D011F1" w:rsidRDefault="00D011F1" w:rsidP="00D011F1">
      <w:pPr>
        <w:rPr>
          <w:lang w:val="en-GB"/>
        </w:rPr>
      </w:pPr>
      <w:r w:rsidRPr="00D011F1">
        <w:rPr>
          <w:lang w:val="en-GB"/>
        </w:rPr>
        <w:lastRenderedPageBreak/>
        <w:t>All questions are derived from established international standards and good practice</w:t>
      </w:r>
      <w:r w:rsidR="00263CCF">
        <w:rPr>
          <w:lang w:val="en-GB"/>
        </w:rPr>
        <w:t>, particularly the</w:t>
      </w:r>
      <w:r w:rsidRPr="00D011F1">
        <w:rPr>
          <w:lang w:val="en-GB"/>
        </w:rPr>
        <w:t xml:space="preserve"> IATG</w:t>
      </w:r>
      <w:r w:rsidR="0066250E">
        <w:rPr>
          <w:lang w:val="en-GB"/>
        </w:rPr>
        <w:t xml:space="preserve"> and</w:t>
      </w:r>
      <w:r w:rsidR="00281AD9">
        <w:rPr>
          <w:lang w:val="en-GB"/>
        </w:rPr>
        <w:t xml:space="preserve"> </w:t>
      </w:r>
      <w:r w:rsidRPr="00D011F1">
        <w:rPr>
          <w:lang w:val="en-GB"/>
        </w:rPr>
        <w:t xml:space="preserve">MOSAIC. Each </w:t>
      </w:r>
      <w:r w:rsidR="007F338F">
        <w:rPr>
          <w:lang w:val="en-GB"/>
        </w:rPr>
        <w:t xml:space="preserve">functional </w:t>
      </w:r>
      <w:r w:rsidR="00096969">
        <w:rPr>
          <w:lang w:val="en-GB"/>
        </w:rPr>
        <w:t xml:space="preserve">section </w:t>
      </w:r>
      <w:r w:rsidRPr="00D011F1">
        <w:rPr>
          <w:lang w:val="en-GB"/>
        </w:rPr>
        <w:t xml:space="preserve">includes links to </w:t>
      </w:r>
      <w:r w:rsidR="00905BFC">
        <w:rPr>
          <w:lang w:val="en-GB"/>
        </w:rPr>
        <w:t xml:space="preserve">relevant </w:t>
      </w:r>
      <w:r w:rsidR="00C80FFA">
        <w:rPr>
          <w:lang w:val="en-GB"/>
        </w:rPr>
        <w:t>reference materi</w:t>
      </w:r>
      <w:r w:rsidR="00DA70F6">
        <w:rPr>
          <w:lang w:val="en-GB"/>
        </w:rPr>
        <w:t>al</w:t>
      </w:r>
      <w:r w:rsidRPr="00D011F1">
        <w:rPr>
          <w:lang w:val="en-GB"/>
        </w:rPr>
        <w:t>, allowing users to see exactly which requirements or recommendations underpin the issue</w:t>
      </w:r>
      <w:r w:rsidR="00630E26">
        <w:rPr>
          <w:lang w:val="en-GB"/>
        </w:rPr>
        <w:t>s</w:t>
      </w:r>
      <w:r w:rsidRPr="00D011F1">
        <w:rPr>
          <w:lang w:val="en-GB"/>
        </w:rPr>
        <w:t xml:space="preserve"> being assessed. This cross</w:t>
      </w:r>
      <w:r w:rsidRPr="00D011F1">
        <w:rPr>
          <w:rFonts w:ascii="Cambria Math" w:hAnsi="Cambria Math" w:cs="Cambria Math"/>
          <w:lang w:val="en-GB"/>
        </w:rPr>
        <w:t>‑</w:t>
      </w:r>
      <w:r w:rsidRPr="00D011F1">
        <w:rPr>
          <w:lang w:val="en-GB"/>
        </w:rPr>
        <w:t xml:space="preserve">referencing helps ensure that responses are consistent with international norms and makes it easier to identify </w:t>
      </w:r>
      <w:r w:rsidR="00E75796">
        <w:rPr>
          <w:lang w:val="en-GB"/>
        </w:rPr>
        <w:t>de</w:t>
      </w:r>
      <w:r w:rsidR="00AC7E74">
        <w:rPr>
          <w:lang w:val="en-GB"/>
        </w:rPr>
        <w:t xml:space="preserve">ficiencies and gaps in </w:t>
      </w:r>
      <w:r w:rsidRPr="00D011F1">
        <w:rPr>
          <w:lang w:val="en-GB"/>
        </w:rPr>
        <w:t xml:space="preserve">national </w:t>
      </w:r>
      <w:r w:rsidR="00350B6E">
        <w:rPr>
          <w:lang w:val="en-GB"/>
        </w:rPr>
        <w:t xml:space="preserve">normative framework and </w:t>
      </w:r>
      <w:r w:rsidRPr="00D011F1">
        <w:rPr>
          <w:lang w:val="en-GB"/>
        </w:rPr>
        <w:t>practice</w:t>
      </w:r>
      <w:r w:rsidR="00AC7E74">
        <w:rPr>
          <w:lang w:val="en-GB"/>
        </w:rPr>
        <w:t xml:space="preserve">. </w:t>
      </w:r>
    </w:p>
    <w:p w14:paraId="1155DFB6" w14:textId="186FE732" w:rsidR="00D011F1" w:rsidRDefault="00D011F1" w:rsidP="00D011F1">
      <w:pPr>
        <w:rPr>
          <w:lang w:val="en-GB"/>
        </w:rPr>
      </w:pPr>
      <w:r w:rsidRPr="00D011F1">
        <w:rPr>
          <w:lang w:val="en-GB"/>
        </w:rPr>
        <w:t xml:space="preserve">Some questions </w:t>
      </w:r>
      <w:r w:rsidR="000E5F98">
        <w:rPr>
          <w:lang w:val="en-GB"/>
        </w:rPr>
        <w:t xml:space="preserve">contain </w:t>
      </w:r>
      <w:r w:rsidRPr="00D011F1">
        <w:rPr>
          <w:lang w:val="en-GB"/>
        </w:rPr>
        <w:t xml:space="preserve">technical </w:t>
      </w:r>
      <w:r w:rsidR="00EE1283">
        <w:rPr>
          <w:lang w:val="en-GB"/>
        </w:rPr>
        <w:t xml:space="preserve">ammunition </w:t>
      </w:r>
      <w:r w:rsidRPr="00D011F1">
        <w:rPr>
          <w:lang w:val="en-GB"/>
        </w:rPr>
        <w:t xml:space="preserve">terms relating to safety, stockpile design, surveillance </w:t>
      </w:r>
      <w:r w:rsidR="00F54814">
        <w:rPr>
          <w:lang w:val="en-GB"/>
        </w:rPr>
        <w:t>and</w:t>
      </w:r>
      <w:r w:rsidRPr="00D011F1">
        <w:rPr>
          <w:lang w:val="en-GB"/>
        </w:rPr>
        <w:t xml:space="preserve"> control measures. Where terminology is unclear, users </w:t>
      </w:r>
      <w:r w:rsidR="00C01975">
        <w:rPr>
          <w:lang w:val="en-GB"/>
        </w:rPr>
        <w:t xml:space="preserve">should </w:t>
      </w:r>
      <w:r w:rsidRPr="00D011F1">
        <w:rPr>
          <w:lang w:val="en-GB"/>
        </w:rPr>
        <w:t xml:space="preserve">consult the </w:t>
      </w:r>
      <w:hyperlink r:id="rId8" w:history="1">
        <w:r w:rsidRPr="00D011F1">
          <w:rPr>
            <w:rStyle w:val="Hyperlink"/>
            <w:lang w:val="en-GB"/>
          </w:rPr>
          <w:t>IATG glossary</w:t>
        </w:r>
      </w:hyperlink>
      <w:r w:rsidRPr="00D011F1">
        <w:rPr>
          <w:lang w:val="en-GB"/>
        </w:rPr>
        <w:t>, which provides standard definitions for key concepts across the guidelines and, by extension, within the AAMVS tool. End</w:t>
      </w:r>
      <w:r w:rsidRPr="00D011F1">
        <w:rPr>
          <w:rFonts w:ascii="Cambria Math" w:hAnsi="Cambria Math" w:cs="Cambria Math"/>
          <w:lang w:val="en-GB"/>
        </w:rPr>
        <w:t>‑</w:t>
      </w:r>
      <w:r w:rsidRPr="00D011F1">
        <w:rPr>
          <w:lang w:val="en-GB"/>
        </w:rPr>
        <w:t xml:space="preserve">users may </w:t>
      </w:r>
      <w:r w:rsidR="00424D9F">
        <w:rPr>
          <w:lang w:val="en-GB"/>
        </w:rPr>
        <w:t xml:space="preserve">also </w:t>
      </w:r>
      <w:r w:rsidRPr="00D011F1">
        <w:rPr>
          <w:lang w:val="en-GB"/>
        </w:rPr>
        <w:t xml:space="preserve">wish to involve technical specialists (for example ammunition technicians, engineers or safety officers) when answering the more detailed questions, </w:t>
      </w:r>
      <w:r w:rsidR="00424D9F">
        <w:rPr>
          <w:lang w:val="en-GB"/>
        </w:rPr>
        <w:t xml:space="preserve">as well as </w:t>
      </w:r>
      <w:r w:rsidR="00DA51EC">
        <w:rPr>
          <w:lang w:val="en-GB"/>
        </w:rPr>
        <w:t>u</w:t>
      </w:r>
      <w:r w:rsidRPr="00D011F1">
        <w:rPr>
          <w:lang w:val="en-GB"/>
        </w:rPr>
        <w:t>sing the provided cross</w:t>
      </w:r>
      <w:r w:rsidRPr="00D011F1">
        <w:rPr>
          <w:rFonts w:ascii="Cambria Math" w:hAnsi="Cambria Math" w:cs="Cambria Math"/>
          <w:lang w:val="en-GB"/>
        </w:rPr>
        <w:t>‑</w:t>
      </w:r>
      <w:r w:rsidRPr="00D011F1">
        <w:rPr>
          <w:lang w:val="en-GB"/>
        </w:rPr>
        <w:t>references and glossary</w:t>
      </w:r>
      <w:r w:rsidR="00684E97">
        <w:rPr>
          <w:lang w:val="en-GB"/>
        </w:rPr>
        <w:t>,</w:t>
      </w:r>
      <w:r w:rsidRPr="00D011F1">
        <w:rPr>
          <w:lang w:val="en-GB"/>
        </w:rPr>
        <w:t xml:space="preserve"> to align national practice</w:t>
      </w:r>
      <w:r w:rsidR="002B7910">
        <w:rPr>
          <w:lang w:val="en-GB"/>
        </w:rPr>
        <w:t>s</w:t>
      </w:r>
      <w:r w:rsidRPr="00D011F1">
        <w:rPr>
          <w:lang w:val="en-GB"/>
        </w:rPr>
        <w:t xml:space="preserve"> and language with international standards.</w:t>
      </w:r>
      <w:r w:rsidR="00E55135">
        <w:rPr>
          <w:lang w:val="en-GB"/>
        </w:rPr>
        <w:t xml:space="preserve"> For many questions, </w:t>
      </w:r>
      <w:r w:rsidR="007E1B12">
        <w:rPr>
          <w:lang w:val="en-GB"/>
        </w:rPr>
        <w:t xml:space="preserve">there is </w:t>
      </w:r>
      <w:r w:rsidR="00E55135">
        <w:rPr>
          <w:lang w:val="en-GB"/>
        </w:rPr>
        <w:t xml:space="preserve">a ‘Help’ button </w:t>
      </w:r>
      <w:r w:rsidR="007E1B12">
        <w:rPr>
          <w:lang w:val="en-GB"/>
        </w:rPr>
        <w:t>o</w:t>
      </w:r>
      <w:r w:rsidR="00A52536">
        <w:rPr>
          <w:lang w:val="en-GB"/>
        </w:rPr>
        <w:t xml:space="preserve">n the right hand side of the </w:t>
      </w:r>
      <w:r w:rsidR="00C0575D">
        <w:rPr>
          <w:lang w:val="en-GB"/>
        </w:rPr>
        <w:t>page,</w:t>
      </w:r>
      <w:r w:rsidR="003B3982">
        <w:rPr>
          <w:lang w:val="en-GB"/>
        </w:rPr>
        <w:t xml:space="preserve"> </w:t>
      </w:r>
      <w:r w:rsidR="00C0575D">
        <w:rPr>
          <w:lang w:val="en-GB"/>
        </w:rPr>
        <w:t xml:space="preserve">and this </w:t>
      </w:r>
      <w:r w:rsidR="002B7910">
        <w:rPr>
          <w:lang w:val="en-GB"/>
        </w:rPr>
        <w:t xml:space="preserve">provides </w:t>
      </w:r>
      <w:r w:rsidR="00EF7197">
        <w:rPr>
          <w:lang w:val="en-GB"/>
        </w:rPr>
        <w:t>supporting detail</w:t>
      </w:r>
      <w:r w:rsidR="00197648">
        <w:rPr>
          <w:lang w:val="en-GB"/>
        </w:rPr>
        <w:t xml:space="preserve"> and backgrou</w:t>
      </w:r>
      <w:r w:rsidR="001F1B1B">
        <w:rPr>
          <w:lang w:val="en-GB"/>
        </w:rPr>
        <w:t>nd information</w:t>
      </w:r>
      <w:r w:rsidR="00EF7197">
        <w:rPr>
          <w:lang w:val="en-GB"/>
        </w:rPr>
        <w:t xml:space="preserve">. </w:t>
      </w:r>
    </w:p>
    <w:p w14:paraId="51BD520A" w14:textId="18051ED1" w:rsidR="0064346E" w:rsidRPr="00567F84" w:rsidRDefault="009843F3" w:rsidP="0064346E">
      <w:pPr>
        <w:pStyle w:val="Heading2"/>
        <w:rPr>
          <w:color w:val="95B3D7" w:themeColor="accent1" w:themeTint="99"/>
          <w:lang w:val="en-GB"/>
        </w:rPr>
      </w:pPr>
      <w:r w:rsidRPr="00567F84">
        <w:rPr>
          <w:color w:val="95B3D7" w:themeColor="accent1" w:themeTint="99"/>
          <w:lang w:val="en-GB"/>
        </w:rPr>
        <w:t xml:space="preserve">4.2 </w:t>
      </w:r>
      <w:r w:rsidR="00F066AF" w:rsidRPr="00567F84">
        <w:rPr>
          <w:color w:val="95B3D7" w:themeColor="accent1" w:themeTint="99"/>
          <w:lang w:val="en-GB"/>
        </w:rPr>
        <w:t xml:space="preserve">Applying and </w:t>
      </w:r>
      <w:r w:rsidR="00F15961" w:rsidRPr="00567F84">
        <w:rPr>
          <w:color w:val="95B3D7" w:themeColor="accent1" w:themeTint="99"/>
          <w:lang w:val="en-GB"/>
        </w:rPr>
        <w:t xml:space="preserve">understanding </w:t>
      </w:r>
      <w:r w:rsidR="0064346E" w:rsidRPr="00567F84">
        <w:rPr>
          <w:color w:val="95B3D7" w:themeColor="accent1" w:themeTint="99"/>
          <w:lang w:val="en-GB"/>
        </w:rPr>
        <w:t>the scoring levels</w:t>
      </w:r>
    </w:p>
    <w:p w14:paraId="341A2479" w14:textId="6346FA0A" w:rsidR="00FF22A6" w:rsidRDefault="0064346E" w:rsidP="0064346E">
      <w:pPr>
        <w:rPr>
          <w:lang w:val="en-GB"/>
        </w:rPr>
      </w:pPr>
      <w:r w:rsidRPr="0014598A">
        <w:rPr>
          <w:lang w:val="en-GB"/>
        </w:rPr>
        <w:t>Scoring in the AAMVS is designed as a structured, evidence</w:t>
      </w:r>
      <w:r w:rsidRPr="0014598A">
        <w:rPr>
          <w:rFonts w:ascii="Cambria Math" w:hAnsi="Cambria Math" w:cs="Cambria Math"/>
          <w:lang w:val="en-GB"/>
        </w:rPr>
        <w:t>‑</w:t>
      </w:r>
      <w:r w:rsidRPr="0014598A">
        <w:rPr>
          <w:lang w:val="en-GB"/>
        </w:rPr>
        <w:t xml:space="preserve">based way to show how closely </w:t>
      </w:r>
      <w:r w:rsidR="006C5445">
        <w:rPr>
          <w:lang w:val="en-GB"/>
        </w:rPr>
        <w:t xml:space="preserve">the </w:t>
      </w:r>
      <w:r w:rsidRPr="0014598A">
        <w:rPr>
          <w:lang w:val="en-GB"/>
        </w:rPr>
        <w:t>current national</w:t>
      </w:r>
      <w:r w:rsidR="00350B6E">
        <w:rPr>
          <w:lang w:val="en-GB"/>
        </w:rPr>
        <w:t xml:space="preserve"> normative framework and</w:t>
      </w:r>
      <w:r w:rsidRPr="0014598A">
        <w:rPr>
          <w:lang w:val="en-GB"/>
        </w:rPr>
        <w:t xml:space="preserve"> practice aligns with international standards and </w:t>
      </w:r>
      <w:r w:rsidR="00C70BC6">
        <w:rPr>
          <w:lang w:val="en-GB"/>
        </w:rPr>
        <w:t>best</w:t>
      </w:r>
      <w:r w:rsidRPr="0014598A">
        <w:rPr>
          <w:lang w:val="en-GB"/>
        </w:rPr>
        <w:t xml:space="preserve"> practice. The tool uses a five</w:t>
      </w:r>
      <w:r w:rsidRPr="0014598A">
        <w:rPr>
          <w:rFonts w:ascii="Cambria Math" w:hAnsi="Cambria Math" w:cs="Cambria Math"/>
          <w:lang w:val="en-GB"/>
        </w:rPr>
        <w:t>‑</w:t>
      </w:r>
      <w:r w:rsidRPr="0014598A">
        <w:rPr>
          <w:lang w:val="en-GB"/>
        </w:rPr>
        <w:t xml:space="preserve">point scale that reflects the degree of implementation, typically moving from </w:t>
      </w:r>
      <w:r w:rsidR="00F97688">
        <w:rPr>
          <w:lang w:val="en-GB"/>
        </w:rPr>
        <w:t>‘</w:t>
      </w:r>
      <w:r w:rsidRPr="0014598A">
        <w:rPr>
          <w:lang w:val="en-GB"/>
        </w:rPr>
        <w:t>not in place</w:t>
      </w:r>
      <w:r w:rsidR="00F97688">
        <w:rPr>
          <w:lang w:val="en-GB"/>
        </w:rPr>
        <w:t>’</w:t>
      </w:r>
      <w:r w:rsidRPr="0014598A">
        <w:rPr>
          <w:lang w:val="en-GB"/>
        </w:rPr>
        <w:t xml:space="preserve"> </w:t>
      </w:r>
      <w:r w:rsidR="00D05BD1">
        <w:rPr>
          <w:lang w:val="en-GB"/>
        </w:rPr>
        <w:t>(L</w:t>
      </w:r>
      <w:r w:rsidRPr="0014598A">
        <w:rPr>
          <w:lang w:val="en-GB"/>
        </w:rPr>
        <w:t>evel 1)</w:t>
      </w:r>
      <w:r w:rsidR="00D05D8F">
        <w:rPr>
          <w:lang w:val="en-GB"/>
        </w:rPr>
        <w:t xml:space="preserve">, </w:t>
      </w:r>
      <w:r w:rsidR="00F97688">
        <w:rPr>
          <w:lang w:val="en-GB"/>
        </w:rPr>
        <w:t>‘</w:t>
      </w:r>
      <w:r w:rsidRPr="0014598A">
        <w:rPr>
          <w:lang w:val="en-GB"/>
        </w:rPr>
        <w:t>partially in place</w:t>
      </w:r>
      <w:r w:rsidR="00D05BD1">
        <w:rPr>
          <w:lang w:val="en-GB"/>
        </w:rPr>
        <w:t>’ (Level 3)</w:t>
      </w:r>
      <w:r w:rsidRPr="0014598A">
        <w:rPr>
          <w:lang w:val="en-GB"/>
        </w:rPr>
        <w:t xml:space="preserve"> to </w:t>
      </w:r>
      <w:r w:rsidR="00D05BD1">
        <w:rPr>
          <w:lang w:val="en-GB"/>
        </w:rPr>
        <w:t>‘</w:t>
      </w:r>
      <w:r w:rsidRPr="0014598A">
        <w:rPr>
          <w:lang w:val="en-GB"/>
        </w:rPr>
        <w:t>fully in place</w:t>
      </w:r>
      <w:r w:rsidR="00E71024">
        <w:rPr>
          <w:lang w:val="en-GB"/>
        </w:rPr>
        <w:t xml:space="preserve"> and </w:t>
      </w:r>
      <w:r w:rsidR="000D471D">
        <w:rPr>
          <w:lang w:val="en-GB"/>
        </w:rPr>
        <w:t xml:space="preserve">aligned </w:t>
      </w:r>
      <w:r w:rsidR="00742105">
        <w:rPr>
          <w:lang w:val="en-GB"/>
        </w:rPr>
        <w:t xml:space="preserve">with </w:t>
      </w:r>
      <w:r w:rsidR="000D471D">
        <w:rPr>
          <w:lang w:val="en-GB"/>
        </w:rPr>
        <w:t>international best practice</w:t>
      </w:r>
      <w:r w:rsidR="00742105">
        <w:rPr>
          <w:lang w:val="en-GB"/>
        </w:rPr>
        <w:t>’</w:t>
      </w:r>
      <w:r w:rsidRPr="0014598A">
        <w:rPr>
          <w:lang w:val="en-GB"/>
        </w:rPr>
        <w:t xml:space="preserve"> </w:t>
      </w:r>
      <w:r w:rsidR="00742105">
        <w:rPr>
          <w:lang w:val="en-GB"/>
        </w:rPr>
        <w:t>(L</w:t>
      </w:r>
      <w:r w:rsidRPr="0014598A">
        <w:rPr>
          <w:lang w:val="en-GB"/>
        </w:rPr>
        <w:t xml:space="preserve">evel 5). Each </w:t>
      </w:r>
      <w:r w:rsidR="00296595">
        <w:rPr>
          <w:lang w:val="en-GB"/>
        </w:rPr>
        <w:t xml:space="preserve">question </w:t>
      </w:r>
      <w:r w:rsidR="00D77C6A">
        <w:rPr>
          <w:lang w:val="en-GB"/>
        </w:rPr>
        <w:t xml:space="preserve">needs to be </w:t>
      </w:r>
      <w:r w:rsidRPr="0014598A">
        <w:rPr>
          <w:lang w:val="en-GB"/>
        </w:rPr>
        <w:t>rated from 1 to 5, where lower scores indicate that key elements are missing or</w:t>
      </w:r>
      <w:r w:rsidR="00D84037">
        <w:rPr>
          <w:lang w:val="en-GB"/>
        </w:rPr>
        <w:t xml:space="preserve"> implemented on an</w:t>
      </w:r>
      <w:r w:rsidRPr="0014598A">
        <w:rPr>
          <w:lang w:val="en-GB"/>
        </w:rPr>
        <w:t xml:space="preserve"> ad hoc</w:t>
      </w:r>
      <w:r w:rsidR="00D84037">
        <w:rPr>
          <w:lang w:val="en-GB"/>
        </w:rPr>
        <w:t xml:space="preserve"> basis</w:t>
      </w:r>
      <w:r w:rsidRPr="0014598A">
        <w:rPr>
          <w:lang w:val="en-GB"/>
        </w:rPr>
        <w:t xml:space="preserve">, while middle scores capture situations where policies or procedures exist but are not </w:t>
      </w:r>
      <w:r w:rsidR="0083764C">
        <w:rPr>
          <w:lang w:val="en-GB"/>
        </w:rPr>
        <w:t xml:space="preserve">yet comprehensive. </w:t>
      </w:r>
      <w:r w:rsidRPr="0014598A">
        <w:rPr>
          <w:lang w:val="en-GB"/>
        </w:rPr>
        <w:t>Highe</w:t>
      </w:r>
      <w:r w:rsidR="00641D62">
        <w:rPr>
          <w:lang w:val="en-GB"/>
        </w:rPr>
        <w:t xml:space="preserve">st </w:t>
      </w:r>
      <w:r w:rsidRPr="0014598A">
        <w:rPr>
          <w:lang w:val="en-GB"/>
        </w:rPr>
        <w:t xml:space="preserve">scores are reserved for </w:t>
      </w:r>
      <w:r w:rsidR="001C7C3B">
        <w:rPr>
          <w:lang w:val="en-GB"/>
        </w:rPr>
        <w:t xml:space="preserve">cases </w:t>
      </w:r>
      <w:r w:rsidRPr="0014598A">
        <w:rPr>
          <w:lang w:val="en-GB"/>
        </w:rPr>
        <w:t xml:space="preserve">where </w:t>
      </w:r>
      <w:r w:rsidR="00552754">
        <w:rPr>
          <w:lang w:val="en-GB"/>
        </w:rPr>
        <w:t xml:space="preserve">practices </w:t>
      </w:r>
      <w:r w:rsidRPr="0014598A">
        <w:rPr>
          <w:lang w:val="en-GB"/>
        </w:rPr>
        <w:t xml:space="preserve">are clearly defined, resourced, implemented, and </w:t>
      </w:r>
      <w:r w:rsidR="005774DB">
        <w:rPr>
          <w:lang w:val="en-GB"/>
        </w:rPr>
        <w:t xml:space="preserve">conform to international best practice. </w:t>
      </w:r>
      <w:r w:rsidRPr="0014598A">
        <w:rPr>
          <w:lang w:val="en-GB"/>
        </w:rPr>
        <w:t xml:space="preserve"> </w:t>
      </w:r>
    </w:p>
    <w:p w14:paraId="0B0ABE72" w14:textId="10B83ED6" w:rsidR="00EF1AA5" w:rsidRDefault="0064346E" w:rsidP="00EF1AA5">
      <w:pPr>
        <w:rPr>
          <w:lang w:val="en-GB"/>
        </w:rPr>
      </w:pPr>
      <w:r w:rsidRPr="0014598A">
        <w:rPr>
          <w:lang w:val="en-GB"/>
        </w:rPr>
        <w:t xml:space="preserve">The </w:t>
      </w:r>
      <w:r w:rsidR="005E0B87">
        <w:rPr>
          <w:lang w:val="en-GB"/>
        </w:rPr>
        <w:t xml:space="preserve">mean score of all responses </w:t>
      </w:r>
      <w:r w:rsidR="007866F0">
        <w:rPr>
          <w:lang w:val="en-GB"/>
        </w:rPr>
        <w:t>w</w:t>
      </w:r>
      <w:r w:rsidRPr="0014598A">
        <w:rPr>
          <w:lang w:val="en-GB"/>
        </w:rPr>
        <w:t xml:space="preserve">ithin a section </w:t>
      </w:r>
      <w:r w:rsidR="007866F0">
        <w:rPr>
          <w:lang w:val="en-GB"/>
        </w:rPr>
        <w:t xml:space="preserve">is then </w:t>
      </w:r>
      <w:r w:rsidR="00626EF3">
        <w:rPr>
          <w:lang w:val="en-GB"/>
        </w:rPr>
        <w:t>automatically</w:t>
      </w:r>
      <w:r w:rsidR="004379B1">
        <w:rPr>
          <w:lang w:val="en-GB"/>
        </w:rPr>
        <w:t xml:space="preserve"> </w:t>
      </w:r>
      <w:r w:rsidR="00125A06">
        <w:rPr>
          <w:lang w:val="en-GB"/>
        </w:rPr>
        <w:t xml:space="preserve">calculated to produce </w:t>
      </w:r>
      <w:r w:rsidR="00214247">
        <w:rPr>
          <w:lang w:val="en-GB"/>
        </w:rPr>
        <w:t xml:space="preserve">the </w:t>
      </w:r>
      <w:r w:rsidRPr="0014598A">
        <w:rPr>
          <w:lang w:val="en-GB"/>
        </w:rPr>
        <w:t xml:space="preserve">capability maturity level for that </w:t>
      </w:r>
      <w:r w:rsidR="00214247">
        <w:rPr>
          <w:lang w:val="en-GB"/>
        </w:rPr>
        <w:t xml:space="preserve">specific </w:t>
      </w:r>
      <w:r w:rsidRPr="0014598A">
        <w:rPr>
          <w:lang w:val="en-GB"/>
        </w:rPr>
        <w:t>area of arms and ammunition management.</w:t>
      </w:r>
      <w:r w:rsidR="00EF1AA5">
        <w:rPr>
          <w:lang w:val="en-GB"/>
        </w:rPr>
        <w:t xml:space="preserve"> </w:t>
      </w:r>
      <w:r w:rsidR="00EF1AA5" w:rsidRPr="00EF1AA5">
        <w:rPr>
          <w:lang w:val="en-GB"/>
        </w:rPr>
        <w:t xml:space="preserve">This </w:t>
      </w:r>
      <w:r w:rsidR="00EF1AA5">
        <w:rPr>
          <w:lang w:val="en-GB"/>
        </w:rPr>
        <w:t xml:space="preserve">approach </w:t>
      </w:r>
      <w:r w:rsidR="00EF1AA5" w:rsidRPr="00EF1AA5">
        <w:rPr>
          <w:lang w:val="en-GB"/>
        </w:rPr>
        <w:t xml:space="preserve">allows users to </w:t>
      </w:r>
      <w:r w:rsidR="00DD2F24">
        <w:rPr>
          <w:lang w:val="en-GB"/>
        </w:rPr>
        <w:t>identify, at a glance, areas of relative strength and weakness</w:t>
      </w:r>
      <w:r w:rsidR="000706C5">
        <w:rPr>
          <w:lang w:val="en-GB"/>
        </w:rPr>
        <w:t>,</w:t>
      </w:r>
      <w:r w:rsidR="00EF1AA5" w:rsidRPr="00EF1AA5">
        <w:rPr>
          <w:lang w:val="en-GB"/>
        </w:rPr>
        <w:t xml:space="preserve"> </w:t>
      </w:r>
      <w:r w:rsidR="00D55D1B">
        <w:rPr>
          <w:lang w:val="en-GB"/>
        </w:rPr>
        <w:t xml:space="preserve">prioritise </w:t>
      </w:r>
      <w:r w:rsidR="00966751">
        <w:rPr>
          <w:lang w:val="en-GB"/>
        </w:rPr>
        <w:t xml:space="preserve">areas for </w:t>
      </w:r>
      <w:r w:rsidR="003A5330">
        <w:rPr>
          <w:lang w:val="en-GB"/>
        </w:rPr>
        <w:t>intervention</w:t>
      </w:r>
      <w:r w:rsidR="00310A64">
        <w:rPr>
          <w:lang w:val="en-GB"/>
        </w:rPr>
        <w:t xml:space="preserve"> and, in due course, compare progress over time. </w:t>
      </w:r>
    </w:p>
    <w:p w14:paraId="47DF82B0" w14:textId="604D9A6E" w:rsidR="00BF0073" w:rsidRPr="00EF1AA5" w:rsidRDefault="002E4245" w:rsidP="00EF1AA5">
      <w:pPr>
        <w:rPr>
          <w:lang w:val="en-GB"/>
        </w:rPr>
      </w:pPr>
      <w:r w:rsidRPr="00B62DED">
        <w:rPr>
          <w:i/>
          <w:iCs/>
          <w:lang w:val="en-GB"/>
        </w:rPr>
        <w:t>Figure 1</w:t>
      </w:r>
      <w:r>
        <w:rPr>
          <w:lang w:val="en-GB"/>
        </w:rPr>
        <w:t xml:space="preserve"> below</w:t>
      </w:r>
      <w:r w:rsidR="00326009">
        <w:rPr>
          <w:lang w:val="en-GB"/>
        </w:rPr>
        <w:t xml:space="preserve"> shows </w:t>
      </w:r>
      <w:r w:rsidR="00E31906">
        <w:rPr>
          <w:lang w:val="en-GB"/>
        </w:rPr>
        <w:t>the user interface</w:t>
      </w:r>
      <w:r w:rsidR="00326009">
        <w:rPr>
          <w:lang w:val="en-GB"/>
        </w:rPr>
        <w:t xml:space="preserve"> when opening the </w:t>
      </w:r>
      <w:r w:rsidR="00B269F0">
        <w:rPr>
          <w:lang w:val="en-GB"/>
        </w:rPr>
        <w:t>t</w:t>
      </w:r>
      <w:r w:rsidR="004A2824">
        <w:rPr>
          <w:lang w:val="en-GB"/>
        </w:rPr>
        <w:t xml:space="preserve">ab </w:t>
      </w:r>
      <w:r w:rsidR="00830998">
        <w:rPr>
          <w:lang w:val="en-GB"/>
        </w:rPr>
        <w:t>on ‘Legislation and Regulations’.</w:t>
      </w:r>
      <w:r w:rsidR="00586F43">
        <w:rPr>
          <w:lang w:val="en-GB"/>
        </w:rPr>
        <w:t xml:space="preserve"> Thi</w:t>
      </w:r>
      <w:r w:rsidR="00520DA5">
        <w:rPr>
          <w:lang w:val="en-GB"/>
        </w:rPr>
        <w:t xml:space="preserve">s includes a free text box </w:t>
      </w:r>
      <w:r w:rsidR="00F80EE0">
        <w:rPr>
          <w:lang w:val="en-GB"/>
        </w:rPr>
        <w:t xml:space="preserve">beneath </w:t>
      </w:r>
      <w:r w:rsidR="00A421C8">
        <w:rPr>
          <w:lang w:val="en-GB"/>
        </w:rPr>
        <w:t xml:space="preserve">some of the </w:t>
      </w:r>
      <w:r w:rsidR="00520DA5">
        <w:rPr>
          <w:lang w:val="en-GB"/>
        </w:rPr>
        <w:t>question</w:t>
      </w:r>
      <w:r w:rsidR="00A421C8">
        <w:rPr>
          <w:lang w:val="en-GB"/>
        </w:rPr>
        <w:t>s</w:t>
      </w:r>
      <w:r w:rsidR="00520DA5">
        <w:rPr>
          <w:lang w:val="en-GB"/>
        </w:rPr>
        <w:t xml:space="preserve"> </w:t>
      </w:r>
      <w:r w:rsidR="005F73D4">
        <w:rPr>
          <w:lang w:val="en-GB"/>
        </w:rPr>
        <w:t>(</w:t>
      </w:r>
      <w:r w:rsidR="002D70EC">
        <w:rPr>
          <w:lang w:val="en-GB"/>
        </w:rPr>
        <w:t xml:space="preserve">labelled </w:t>
      </w:r>
      <w:r w:rsidR="005F73D4">
        <w:rPr>
          <w:lang w:val="en-GB"/>
        </w:rPr>
        <w:t>‘Evidence, Processes and Notes</w:t>
      </w:r>
      <w:r w:rsidR="002D70EC">
        <w:rPr>
          <w:lang w:val="en-GB"/>
        </w:rPr>
        <w:t xml:space="preserve">’) </w:t>
      </w:r>
      <w:r w:rsidR="00520DA5">
        <w:rPr>
          <w:lang w:val="en-GB"/>
        </w:rPr>
        <w:t>for providing supplementary information.</w:t>
      </w:r>
    </w:p>
    <w:p w14:paraId="670122B8" w14:textId="3638DF9A" w:rsidR="0064346E" w:rsidRDefault="0064346E" w:rsidP="0064346E">
      <w:pPr>
        <w:rPr>
          <w:lang w:val="en-GB"/>
        </w:rPr>
      </w:pPr>
    </w:p>
    <w:p w14:paraId="3D61946A" w14:textId="5C3E09DC" w:rsidR="005D62F1" w:rsidRPr="0014598A" w:rsidRDefault="005D62F1" w:rsidP="001F3B66">
      <w:pPr>
        <w:jc w:val="center"/>
        <w:rPr>
          <w:lang w:val="en-GB"/>
        </w:rPr>
      </w:pPr>
      <w:r>
        <w:rPr>
          <w:noProof/>
          <w:lang w:val="en-GB"/>
        </w:rPr>
        <w:lastRenderedPageBreak/>
        <w:drawing>
          <wp:inline distT="0" distB="0" distL="0" distR="0" wp14:anchorId="530D1D6E" wp14:editId="6BCAA727">
            <wp:extent cx="5098443" cy="2811815"/>
            <wp:effectExtent l="38100" t="38100" r="83185" b="83820"/>
            <wp:docPr id="55263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3499" name="Picture 55263499"/>
                    <pic:cNvPicPr/>
                  </pic:nvPicPr>
                  <pic:blipFill>
                    <a:blip r:embed="rId9"/>
                    <a:stretch>
                      <a:fillRect/>
                    </a:stretch>
                  </pic:blipFill>
                  <pic:spPr>
                    <a:xfrm>
                      <a:off x="0" y="0"/>
                      <a:ext cx="5123223" cy="2825481"/>
                    </a:xfrm>
                    <a:prstGeom prst="rect">
                      <a:avLst/>
                    </a:prstGeom>
                    <a:ln>
                      <a:solidFill>
                        <a:schemeClr val="tx1">
                          <a:lumMod val="50000"/>
                          <a:lumOff val="50000"/>
                        </a:schemeClr>
                      </a:solidFill>
                    </a:ln>
                    <a:effectLst>
                      <a:outerShdw blurRad="50800" dist="38100" dir="2700000" algn="tl" rotWithShape="0">
                        <a:prstClr val="black">
                          <a:alpha val="40000"/>
                        </a:prstClr>
                      </a:outerShdw>
                    </a:effectLst>
                  </pic:spPr>
                </pic:pic>
              </a:graphicData>
            </a:graphic>
          </wp:inline>
        </w:drawing>
      </w:r>
    </w:p>
    <w:p w14:paraId="21775FAB" w14:textId="04D6F5A3" w:rsidR="00E00B61" w:rsidRDefault="00E00B61" w:rsidP="001F3B66">
      <w:pPr>
        <w:pStyle w:val="Caption"/>
        <w:keepNext/>
        <w:jc w:val="center"/>
      </w:pPr>
      <w:r>
        <w:t xml:space="preserve">Figure </w:t>
      </w:r>
      <w:fldSimple w:instr=" SEQ Figure \* ARABIC ">
        <w:r w:rsidR="00837D42">
          <w:rPr>
            <w:noProof/>
          </w:rPr>
          <w:t>1</w:t>
        </w:r>
      </w:fldSimple>
      <w:r>
        <w:t xml:space="preserve"> – Example of questions in functional section</w:t>
      </w:r>
    </w:p>
    <w:p w14:paraId="1E0A9111" w14:textId="27CBA10B" w:rsidR="00844F75" w:rsidRPr="00567F84" w:rsidRDefault="00444238" w:rsidP="000E2686">
      <w:pPr>
        <w:rPr>
          <w:rFonts w:asciiTheme="majorHAnsi" w:hAnsiTheme="majorHAnsi" w:cstheme="majorHAnsi"/>
          <w:color w:val="95B3D7" w:themeColor="accent1" w:themeTint="99"/>
          <w:sz w:val="26"/>
          <w:szCs w:val="26"/>
          <w:lang w:val="en-GB"/>
        </w:rPr>
      </w:pPr>
      <w:r w:rsidRPr="00567F84">
        <w:rPr>
          <w:rFonts w:asciiTheme="majorHAnsi" w:hAnsiTheme="majorHAnsi" w:cstheme="majorHAnsi"/>
          <w:b/>
          <w:bCs/>
          <w:color w:val="95B3D7" w:themeColor="accent1" w:themeTint="99"/>
          <w:sz w:val="26"/>
          <w:szCs w:val="26"/>
          <w:lang w:val="en-GB"/>
        </w:rPr>
        <w:t xml:space="preserve">4.3 </w:t>
      </w:r>
      <w:r w:rsidR="000359C8" w:rsidRPr="00567F84">
        <w:rPr>
          <w:rFonts w:asciiTheme="majorHAnsi" w:hAnsiTheme="majorHAnsi" w:cstheme="majorHAnsi"/>
          <w:b/>
          <w:bCs/>
          <w:color w:val="95B3D7" w:themeColor="accent1" w:themeTint="99"/>
          <w:sz w:val="26"/>
          <w:szCs w:val="26"/>
          <w:lang w:val="en-GB"/>
        </w:rPr>
        <w:t xml:space="preserve">Supplementary </w:t>
      </w:r>
      <w:r w:rsidR="000467B4" w:rsidRPr="00567F84">
        <w:rPr>
          <w:rFonts w:asciiTheme="majorHAnsi" w:hAnsiTheme="majorHAnsi" w:cstheme="majorHAnsi"/>
          <w:b/>
          <w:bCs/>
          <w:color w:val="95B3D7" w:themeColor="accent1" w:themeTint="99"/>
          <w:sz w:val="26"/>
          <w:szCs w:val="26"/>
          <w:lang w:val="en-GB"/>
        </w:rPr>
        <w:t>information</w:t>
      </w:r>
    </w:p>
    <w:p w14:paraId="63F37420" w14:textId="1F5E7CFA" w:rsidR="0064346E" w:rsidRPr="0014598A" w:rsidRDefault="0064346E" w:rsidP="0064346E">
      <w:pPr>
        <w:rPr>
          <w:lang w:val="en-GB"/>
        </w:rPr>
      </w:pPr>
      <w:r w:rsidRPr="0014598A">
        <w:rPr>
          <w:lang w:val="en-GB"/>
        </w:rPr>
        <w:t xml:space="preserve">The self-assessment questionnaire </w:t>
      </w:r>
      <w:r w:rsidR="0084262E">
        <w:rPr>
          <w:lang w:val="en-GB"/>
        </w:rPr>
        <w:t>encompasses t</w:t>
      </w:r>
      <w:r w:rsidRPr="0014598A">
        <w:rPr>
          <w:lang w:val="en-GB"/>
        </w:rPr>
        <w:t xml:space="preserve">he </w:t>
      </w:r>
      <w:r w:rsidR="00DA6B56">
        <w:rPr>
          <w:lang w:val="en-GB"/>
        </w:rPr>
        <w:t xml:space="preserve">complete </w:t>
      </w:r>
      <w:r w:rsidRPr="00767F55">
        <w:rPr>
          <w:lang w:val="en-GB"/>
        </w:rPr>
        <w:t>through</w:t>
      </w:r>
      <w:r w:rsidRPr="00767F55">
        <w:rPr>
          <w:rFonts w:ascii="Cambria Math" w:hAnsi="Cambria Math" w:cs="Cambria Math"/>
          <w:lang w:val="en-GB"/>
        </w:rPr>
        <w:t>‑</w:t>
      </w:r>
      <w:r w:rsidRPr="00767F55">
        <w:rPr>
          <w:lang w:val="en-GB"/>
        </w:rPr>
        <w:t>life</w:t>
      </w:r>
      <w:r w:rsidRPr="0014598A">
        <w:rPr>
          <w:lang w:val="en-GB"/>
        </w:rPr>
        <w:t xml:space="preserve"> management of conventional </w:t>
      </w:r>
      <w:r w:rsidR="00FD037D">
        <w:rPr>
          <w:lang w:val="en-GB"/>
        </w:rPr>
        <w:t xml:space="preserve">small arms and </w:t>
      </w:r>
      <w:r w:rsidRPr="0014598A">
        <w:rPr>
          <w:lang w:val="en-GB"/>
        </w:rPr>
        <w:t xml:space="preserve">ammunition, covering strategic, operational and technical levels. When answering each question, users should base their responses </w:t>
      </w:r>
      <w:r w:rsidRPr="00767F55">
        <w:rPr>
          <w:lang w:val="en-GB"/>
        </w:rPr>
        <w:t>on</w:t>
      </w:r>
      <w:r w:rsidRPr="0014598A">
        <w:rPr>
          <w:lang w:val="en-GB"/>
        </w:rPr>
        <w:t xml:space="preserve"> existing laws, regulations, standard operating procedures </w:t>
      </w:r>
      <w:r w:rsidR="00722E54">
        <w:rPr>
          <w:lang w:val="en-GB"/>
        </w:rPr>
        <w:t xml:space="preserve">(SOPs) </w:t>
      </w:r>
      <w:r w:rsidRPr="0014598A">
        <w:rPr>
          <w:lang w:val="en-GB"/>
        </w:rPr>
        <w:t xml:space="preserve">and recent practice, rather than on planned reforms or informal workarounds. Where the tool allows </w:t>
      </w:r>
      <w:r w:rsidR="00E342C7">
        <w:rPr>
          <w:lang w:val="en-GB"/>
        </w:rPr>
        <w:t xml:space="preserve">for </w:t>
      </w:r>
      <w:r w:rsidRPr="0014598A">
        <w:rPr>
          <w:lang w:val="en-GB"/>
        </w:rPr>
        <w:t xml:space="preserve">qualitative inputs or comments, users </w:t>
      </w:r>
      <w:r w:rsidR="00E342C7">
        <w:rPr>
          <w:lang w:val="en-GB"/>
        </w:rPr>
        <w:t xml:space="preserve">are encouraged </w:t>
      </w:r>
      <w:r w:rsidR="00B80FD1">
        <w:rPr>
          <w:lang w:val="en-GB"/>
        </w:rPr>
        <w:t xml:space="preserve">to </w:t>
      </w:r>
      <w:r w:rsidR="00630175">
        <w:rPr>
          <w:lang w:val="en-GB"/>
        </w:rPr>
        <w:t xml:space="preserve">include </w:t>
      </w:r>
      <w:r w:rsidRPr="0014598A">
        <w:rPr>
          <w:lang w:val="en-GB"/>
        </w:rPr>
        <w:t>references</w:t>
      </w:r>
      <w:r w:rsidR="00E76C09">
        <w:rPr>
          <w:lang w:val="en-GB"/>
        </w:rPr>
        <w:t>/</w:t>
      </w:r>
      <w:r w:rsidRPr="0014598A">
        <w:rPr>
          <w:lang w:val="en-GB"/>
        </w:rPr>
        <w:t>web-links to national standards, inspections</w:t>
      </w:r>
      <w:r w:rsidR="00E76C09">
        <w:rPr>
          <w:lang w:val="en-GB"/>
        </w:rPr>
        <w:t xml:space="preserve"> and </w:t>
      </w:r>
      <w:r w:rsidRPr="0014598A">
        <w:rPr>
          <w:lang w:val="en-GB"/>
        </w:rPr>
        <w:t>training records</w:t>
      </w:r>
      <w:r w:rsidR="00E76C09">
        <w:rPr>
          <w:lang w:val="en-GB"/>
        </w:rPr>
        <w:t xml:space="preserve">. </w:t>
      </w:r>
      <w:r w:rsidR="000359C8">
        <w:rPr>
          <w:lang w:val="en-GB"/>
        </w:rPr>
        <w:t xml:space="preserve">It is also useful to </w:t>
      </w:r>
      <w:r w:rsidRPr="0014598A">
        <w:rPr>
          <w:lang w:val="en-GB"/>
        </w:rPr>
        <w:t xml:space="preserve">note any known gaps or ongoing reforms so that the results can be interpreted </w:t>
      </w:r>
      <w:r w:rsidR="007C1703">
        <w:rPr>
          <w:lang w:val="en-GB"/>
        </w:rPr>
        <w:t xml:space="preserve">holistically </w:t>
      </w:r>
      <w:r w:rsidRPr="0014598A">
        <w:rPr>
          <w:lang w:val="en-GB"/>
        </w:rPr>
        <w:t>and revisited in future cycles.</w:t>
      </w:r>
    </w:p>
    <w:p w14:paraId="34842C5B" w14:textId="77777777" w:rsidR="004A3501" w:rsidRDefault="001103B3" w:rsidP="003E776F">
      <w:pPr>
        <w:pStyle w:val="Heading1"/>
        <w:spacing w:before="200"/>
        <w:jc w:val="left"/>
      </w:pPr>
      <w:r>
        <w:t xml:space="preserve">Conducting the </w:t>
      </w:r>
      <w:r w:rsidR="004A1372">
        <w:t>self-assessment</w:t>
      </w:r>
    </w:p>
    <w:p w14:paraId="1DB81BF0" w14:textId="09323058" w:rsidR="000F6EBA" w:rsidRDefault="00350B6E" w:rsidP="00E616C3">
      <w:pPr>
        <w:pStyle w:val="Heading1"/>
        <w:numPr>
          <w:ilvl w:val="0"/>
          <w:numId w:val="0"/>
        </w:numPr>
        <w:spacing w:before="200"/>
        <w:jc w:val="left"/>
        <w:rPr>
          <w:color w:val="95B3D7" w:themeColor="accent1" w:themeTint="99"/>
          <w:sz w:val="26"/>
          <w:szCs w:val="26"/>
        </w:rPr>
      </w:pPr>
      <w:r w:rsidRPr="00567F84">
        <w:rPr>
          <w:color w:val="95B3D7" w:themeColor="accent1" w:themeTint="99"/>
          <w:sz w:val="26"/>
          <w:szCs w:val="26"/>
        </w:rPr>
        <w:t>5.1 Suggested</w:t>
      </w:r>
      <w:r w:rsidR="000F6EBA" w:rsidRPr="00567F84">
        <w:rPr>
          <w:color w:val="95B3D7" w:themeColor="accent1" w:themeTint="99"/>
          <w:sz w:val="26"/>
          <w:szCs w:val="26"/>
        </w:rPr>
        <w:t xml:space="preserve"> process</w:t>
      </w:r>
    </w:p>
    <w:p w14:paraId="5C3F4277" w14:textId="433F27D1" w:rsidR="00D23CB6" w:rsidRPr="00D23CB6" w:rsidRDefault="00D23CB6" w:rsidP="00D23CB6">
      <w:pPr>
        <w:rPr>
          <w:lang w:val="en-GB"/>
        </w:rPr>
      </w:pPr>
      <w:r w:rsidRPr="00AA425C">
        <w:rPr>
          <w:lang w:val="en-GB"/>
        </w:rPr>
        <w:t xml:space="preserve">Ideally, a small </w:t>
      </w:r>
      <w:r>
        <w:rPr>
          <w:lang w:val="en-GB"/>
        </w:rPr>
        <w:t>te</w:t>
      </w:r>
      <w:r w:rsidRPr="00AA425C">
        <w:rPr>
          <w:lang w:val="en-GB"/>
        </w:rPr>
        <w:t>am</w:t>
      </w:r>
      <w:r>
        <w:rPr>
          <w:lang w:val="en-GB"/>
        </w:rPr>
        <w:t>,</w:t>
      </w:r>
      <w:r w:rsidRPr="00AA425C">
        <w:rPr>
          <w:lang w:val="en-GB"/>
        </w:rPr>
        <w:t xml:space="preserve"> </w:t>
      </w:r>
      <w:r>
        <w:rPr>
          <w:lang w:val="en-GB"/>
        </w:rPr>
        <w:t xml:space="preserve">mainly from the end-user </w:t>
      </w:r>
      <w:r w:rsidRPr="00AA425C">
        <w:rPr>
          <w:lang w:val="en-GB"/>
        </w:rPr>
        <w:t xml:space="preserve">should complete the tool, </w:t>
      </w:r>
      <w:r>
        <w:rPr>
          <w:lang w:val="en-GB"/>
        </w:rPr>
        <w:t xml:space="preserve">led and </w:t>
      </w:r>
      <w:r w:rsidRPr="00AA425C">
        <w:rPr>
          <w:lang w:val="en-GB"/>
        </w:rPr>
        <w:t xml:space="preserve">coordinated by a </w:t>
      </w:r>
      <w:r>
        <w:rPr>
          <w:lang w:val="en-GB"/>
        </w:rPr>
        <w:t xml:space="preserve">senior official (potentially drawn from central government like the small arms commission). </w:t>
      </w:r>
      <w:r w:rsidRPr="00AA425C">
        <w:rPr>
          <w:lang w:val="en-GB"/>
        </w:rPr>
        <w:t>This team typically includes officials</w:t>
      </w:r>
      <w:r>
        <w:rPr>
          <w:lang w:val="en-GB"/>
        </w:rPr>
        <w:t xml:space="preserve"> from the end user or governing body</w:t>
      </w:r>
      <w:r w:rsidRPr="00AA425C">
        <w:rPr>
          <w:lang w:val="en-GB"/>
        </w:rPr>
        <w:t xml:space="preserve"> responsible for policy and legal frameworks, logistics and stockpile management, training, infrastructure and safety</w:t>
      </w:r>
      <w:r>
        <w:rPr>
          <w:lang w:val="en-GB"/>
        </w:rPr>
        <w:t xml:space="preserve"> - </w:t>
      </w:r>
      <w:r w:rsidRPr="00AA425C">
        <w:rPr>
          <w:lang w:val="en-GB"/>
        </w:rPr>
        <w:t>as well as oversight o</w:t>
      </w:r>
      <w:r>
        <w:rPr>
          <w:lang w:val="en-GB"/>
        </w:rPr>
        <w:t>f</w:t>
      </w:r>
      <w:r w:rsidRPr="00AA425C">
        <w:rPr>
          <w:lang w:val="en-GB"/>
        </w:rPr>
        <w:t xml:space="preserve"> audit functions, so that answers are evidence</w:t>
      </w:r>
      <w:r w:rsidRPr="00AA425C">
        <w:rPr>
          <w:rFonts w:ascii="Cambria Math" w:hAnsi="Cambria Math" w:cs="Cambria Math"/>
          <w:lang w:val="en-GB"/>
        </w:rPr>
        <w:t>‑</w:t>
      </w:r>
      <w:r w:rsidRPr="00AA425C">
        <w:rPr>
          <w:lang w:val="en-GB"/>
        </w:rPr>
        <w:t>based and system</w:t>
      </w:r>
      <w:r w:rsidRPr="00AA425C">
        <w:rPr>
          <w:rFonts w:ascii="Cambria Math" w:hAnsi="Cambria Math" w:cs="Cambria Math"/>
          <w:lang w:val="en-GB"/>
        </w:rPr>
        <w:t>‑</w:t>
      </w:r>
      <w:r w:rsidRPr="00AA425C">
        <w:rPr>
          <w:lang w:val="en-GB"/>
        </w:rPr>
        <w:t>wide</w:t>
      </w:r>
      <w:r>
        <w:rPr>
          <w:lang w:val="en-GB"/>
        </w:rPr>
        <w:t xml:space="preserve">. </w:t>
      </w:r>
    </w:p>
    <w:p w14:paraId="3B1480C8" w14:textId="0C06F853" w:rsidR="000F6EBA" w:rsidRPr="0014598A" w:rsidRDefault="003C4648" w:rsidP="000F6EBA">
      <w:pPr>
        <w:pStyle w:val="ListParagraph"/>
        <w:numPr>
          <w:ilvl w:val="0"/>
          <w:numId w:val="14"/>
        </w:numPr>
        <w:rPr>
          <w:lang w:val="en-GB"/>
        </w:rPr>
      </w:pPr>
      <w:r>
        <w:rPr>
          <w:lang w:val="en-GB"/>
        </w:rPr>
        <w:t>C</w:t>
      </w:r>
      <w:r w:rsidR="000F6EBA" w:rsidRPr="0014598A">
        <w:rPr>
          <w:lang w:val="en-GB"/>
        </w:rPr>
        <w:t>oordinator and scope</w:t>
      </w:r>
      <w:r w:rsidR="00114CDF">
        <w:rPr>
          <w:lang w:val="en-GB"/>
        </w:rPr>
        <w:t xml:space="preserve"> of self-assessment</w:t>
      </w:r>
      <w:r w:rsidR="000B6337">
        <w:rPr>
          <w:lang w:val="en-GB"/>
        </w:rPr>
        <w:t>:</w:t>
      </w:r>
    </w:p>
    <w:p w14:paraId="1C9D5425" w14:textId="6E0A1863" w:rsidR="000F6EBA" w:rsidRPr="0014598A" w:rsidRDefault="00122657" w:rsidP="002A7E31">
      <w:pPr>
        <w:pStyle w:val="ListParagraph"/>
        <w:numPr>
          <w:ilvl w:val="2"/>
          <w:numId w:val="14"/>
        </w:numPr>
        <w:rPr>
          <w:lang w:val="en-GB"/>
        </w:rPr>
      </w:pPr>
      <w:r>
        <w:rPr>
          <w:lang w:val="en-GB"/>
        </w:rPr>
        <w:t>a coordinator should be appointed to oversee the self-assessment process.</w:t>
      </w:r>
      <w:r w:rsidR="00505713">
        <w:rPr>
          <w:lang w:val="en-GB"/>
        </w:rPr>
        <w:t xml:space="preserve"> </w:t>
      </w:r>
      <w:r w:rsidR="00C1635B">
        <w:rPr>
          <w:lang w:val="en-GB"/>
        </w:rPr>
        <w:t>This</w:t>
      </w:r>
      <w:r>
        <w:rPr>
          <w:lang w:val="en-GB"/>
        </w:rPr>
        <w:t xml:space="preserve"> individual</w:t>
      </w:r>
      <w:r w:rsidR="00C1635B">
        <w:rPr>
          <w:lang w:val="en-GB"/>
        </w:rPr>
        <w:t xml:space="preserve"> should be </w:t>
      </w:r>
      <w:r w:rsidR="00305426">
        <w:rPr>
          <w:lang w:val="en-GB"/>
        </w:rPr>
        <w:t xml:space="preserve">a senior figure </w:t>
      </w:r>
      <w:r w:rsidR="00B44C2F">
        <w:rPr>
          <w:lang w:val="en-GB"/>
        </w:rPr>
        <w:t xml:space="preserve">from the most </w:t>
      </w:r>
      <w:r w:rsidR="00264C15">
        <w:rPr>
          <w:lang w:val="en-GB"/>
        </w:rPr>
        <w:t xml:space="preserve">appropriate government </w:t>
      </w:r>
      <w:r w:rsidR="00B44C2F">
        <w:rPr>
          <w:lang w:val="en-GB"/>
        </w:rPr>
        <w:t xml:space="preserve">body </w:t>
      </w:r>
      <w:r w:rsidR="001D64F8">
        <w:rPr>
          <w:lang w:val="en-GB"/>
        </w:rPr>
        <w:t>(e.g.</w:t>
      </w:r>
      <w:r w:rsidR="008F05C0">
        <w:rPr>
          <w:lang w:val="en-GB"/>
        </w:rPr>
        <w:t xml:space="preserve"> </w:t>
      </w:r>
      <w:r w:rsidR="00060EF8">
        <w:rPr>
          <w:lang w:val="en-GB"/>
        </w:rPr>
        <w:t>small arms commission,</w:t>
      </w:r>
      <w:r w:rsidR="0066250E">
        <w:rPr>
          <w:lang w:val="en-GB"/>
        </w:rPr>
        <w:t xml:space="preserve"> import</w:t>
      </w:r>
      <w:r w:rsidR="00060EF8">
        <w:rPr>
          <w:lang w:val="en-GB"/>
        </w:rPr>
        <w:t xml:space="preserve"> </w:t>
      </w:r>
      <w:r w:rsidR="0066250E">
        <w:rPr>
          <w:lang w:val="en-GB"/>
        </w:rPr>
        <w:t xml:space="preserve">authority, </w:t>
      </w:r>
      <w:r w:rsidR="00060EF8">
        <w:rPr>
          <w:lang w:val="en-GB"/>
        </w:rPr>
        <w:t>army, police, other national security agency),</w:t>
      </w:r>
      <w:r w:rsidR="00B44C2F">
        <w:rPr>
          <w:lang w:val="en-GB"/>
        </w:rPr>
        <w:t xml:space="preserve"> with </w:t>
      </w:r>
      <w:r w:rsidR="00305426">
        <w:rPr>
          <w:lang w:val="en-GB"/>
        </w:rPr>
        <w:t xml:space="preserve">the </w:t>
      </w:r>
      <w:r w:rsidR="00950A05">
        <w:rPr>
          <w:lang w:val="en-GB"/>
        </w:rPr>
        <w:t xml:space="preserve">authority to convene all </w:t>
      </w:r>
      <w:r w:rsidR="00DD7AB3">
        <w:rPr>
          <w:lang w:val="en-GB"/>
        </w:rPr>
        <w:t xml:space="preserve">relevant </w:t>
      </w:r>
      <w:r w:rsidR="00654038">
        <w:rPr>
          <w:lang w:val="en-GB"/>
        </w:rPr>
        <w:t>national stakeholders.</w:t>
      </w:r>
    </w:p>
    <w:p w14:paraId="5AB1E0F6" w14:textId="0725C2B7" w:rsidR="000F6EBA" w:rsidRPr="0014598A" w:rsidRDefault="002A54E5" w:rsidP="002A7E31">
      <w:pPr>
        <w:pStyle w:val="ListParagraph"/>
        <w:numPr>
          <w:ilvl w:val="2"/>
          <w:numId w:val="14"/>
        </w:numPr>
        <w:rPr>
          <w:lang w:val="en-GB"/>
        </w:rPr>
      </w:pPr>
      <w:r>
        <w:rPr>
          <w:lang w:val="en-GB"/>
        </w:rPr>
        <w:lastRenderedPageBreak/>
        <w:t>The</w:t>
      </w:r>
      <w:r w:rsidR="00E22322">
        <w:rPr>
          <w:lang w:val="en-GB"/>
        </w:rPr>
        <w:t xml:space="preserve"> scope of the self-assessment should be clearly defined, including </w:t>
      </w:r>
      <w:r w:rsidR="000F6EBA" w:rsidRPr="0014598A">
        <w:rPr>
          <w:lang w:val="en-GB"/>
        </w:rPr>
        <w:t xml:space="preserve">which </w:t>
      </w:r>
      <w:r w:rsidR="0064346E" w:rsidRPr="0014598A">
        <w:rPr>
          <w:lang w:val="en-GB"/>
        </w:rPr>
        <w:t>stock</w:t>
      </w:r>
      <w:r w:rsidR="000409B6">
        <w:rPr>
          <w:lang w:val="en-GB"/>
        </w:rPr>
        <w:t>s, facilities and activities</w:t>
      </w:r>
      <w:r w:rsidR="0064346E" w:rsidRPr="0014598A">
        <w:rPr>
          <w:lang w:val="en-GB"/>
        </w:rPr>
        <w:t xml:space="preserve"> </w:t>
      </w:r>
      <w:r w:rsidR="000F6EBA" w:rsidRPr="0014598A">
        <w:rPr>
          <w:lang w:val="en-GB"/>
        </w:rPr>
        <w:t xml:space="preserve">are </w:t>
      </w:r>
      <w:r w:rsidR="00E22322">
        <w:rPr>
          <w:lang w:val="en-GB"/>
        </w:rPr>
        <w:t xml:space="preserve">covered. A realistic timelines should also be established for completing the questionnaire. </w:t>
      </w:r>
    </w:p>
    <w:p w14:paraId="5B545A0C" w14:textId="39614A04" w:rsidR="00280264" w:rsidRDefault="00CC3322" w:rsidP="00C53E06">
      <w:pPr>
        <w:pStyle w:val="ListParagraph"/>
        <w:numPr>
          <w:ilvl w:val="0"/>
          <w:numId w:val="14"/>
        </w:numPr>
        <w:rPr>
          <w:lang w:val="en-GB"/>
        </w:rPr>
      </w:pPr>
      <w:r>
        <w:rPr>
          <w:lang w:val="en-GB"/>
        </w:rPr>
        <w:t xml:space="preserve">A team of </w:t>
      </w:r>
      <w:r w:rsidR="000F6EBA" w:rsidRPr="0014598A">
        <w:rPr>
          <w:lang w:val="en-GB"/>
        </w:rPr>
        <w:t xml:space="preserve">4–8 </w:t>
      </w:r>
      <w:r w:rsidR="00306980">
        <w:rPr>
          <w:lang w:val="en-GB"/>
        </w:rPr>
        <w:t xml:space="preserve">officials </w:t>
      </w:r>
      <w:r w:rsidR="00B5436C">
        <w:rPr>
          <w:lang w:val="en-GB"/>
        </w:rPr>
        <w:t xml:space="preserve">should be </w:t>
      </w:r>
      <w:r w:rsidR="007D1757">
        <w:rPr>
          <w:lang w:val="en-GB"/>
        </w:rPr>
        <w:t>assembled</w:t>
      </w:r>
      <w:r w:rsidR="00FF45BB">
        <w:rPr>
          <w:lang w:val="en-GB"/>
        </w:rPr>
        <w:t xml:space="preserve">, under the </w:t>
      </w:r>
      <w:r>
        <w:rPr>
          <w:lang w:val="en-GB"/>
        </w:rPr>
        <w:t>coordinator</w:t>
      </w:r>
      <w:r w:rsidR="00D60086">
        <w:rPr>
          <w:lang w:val="en-GB"/>
        </w:rPr>
        <w:t>,</w:t>
      </w:r>
      <w:r w:rsidR="000E71ED">
        <w:rPr>
          <w:lang w:val="en-GB"/>
        </w:rPr>
        <w:t xml:space="preserve"> </w:t>
      </w:r>
      <w:r w:rsidR="004C3979">
        <w:rPr>
          <w:lang w:val="en-GB"/>
        </w:rPr>
        <w:t>with</w:t>
      </w:r>
      <w:r w:rsidR="007D1757">
        <w:rPr>
          <w:lang w:val="en-GB"/>
        </w:rPr>
        <w:t xml:space="preserve"> expert</w:t>
      </w:r>
      <w:r w:rsidR="000E71ED">
        <w:rPr>
          <w:lang w:val="en-GB"/>
        </w:rPr>
        <w:t xml:space="preserve">ise in </w:t>
      </w:r>
      <w:r w:rsidR="007D1757">
        <w:rPr>
          <w:lang w:val="en-GB"/>
        </w:rPr>
        <w:t xml:space="preserve">the </w:t>
      </w:r>
      <w:r w:rsidR="0014080C">
        <w:rPr>
          <w:lang w:val="en-GB"/>
        </w:rPr>
        <w:t xml:space="preserve">materials being imported, </w:t>
      </w:r>
      <w:r w:rsidR="00FB2FC6">
        <w:rPr>
          <w:lang w:val="en-GB"/>
        </w:rPr>
        <w:t xml:space="preserve">to address </w:t>
      </w:r>
      <w:r w:rsidR="00981545">
        <w:rPr>
          <w:lang w:val="en-GB"/>
        </w:rPr>
        <w:t xml:space="preserve">all </w:t>
      </w:r>
      <w:r w:rsidR="00F65D1A">
        <w:rPr>
          <w:lang w:val="en-GB"/>
        </w:rPr>
        <w:t xml:space="preserve">WAM-related </w:t>
      </w:r>
      <w:r w:rsidR="00AA1E62">
        <w:rPr>
          <w:lang w:val="en-GB"/>
        </w:rPr>
        <w:t>aspects of</w:t>
      </w:r>
      <w:r w:rsidR="00280264">
        <w:rPr>
          <w:lang w:val="en-GB"/>
        </w:rPr>
        <w:t>:</w:t>
      </w:r>
    </w:p>
    <w:p w14:paraId="4B3DD306" w14:textId="77777777" w:rsidR="002C4BAD" w:rsidRPr="002C4BAD" w:rsidRDefault="002C4BAD" w:rsidP="001A01E2">
      <w:pPr>
        <w:pStyle w:val="ListParagraph"/>
        <w:numPr>
          <w:ilvl w:val="0"/>
          <w:numId w:val="27"/>
        </w:numPr>
        <w:rPr>
          <w:lang w:val="en-GB"/>
        </w:rPr>
      </w:pPr>
      <w:r w:rsidRPr="002C4BAD">
        <w:rPr>
          <w:lang w:val="en-GB"/>
        </w:rPr>
        <w:t>Legislation &amp; Regulations</w:t>
      </w:r>
    </w:p>
    <w:p w14:paraId="7EA80427" w14:textId="6930FDEB" w:rsidR="002C4BAD" w:rsidRDefault="002C4BAD" w:rsidP="001A01E2">
      <w:pPr>
        <w:pStyle w:val="ListParagraph"/>
        <w:numPr>
          <w:ilvl w:val="3"/>
          <w:numId w:val="28"/>
        </w:numPr>
        <w:rPr>
          <w:lang w:val="en-GB"/>
        </w:rPr>
      </w:pPr>
      <w:r w:rsidRPr="00D011F1">
        <w:rPr>
          <w:lang w:val="en-GB"/>
        </w:rPr>
        <w:t>Organization</w:t>
      </w:r>
    </w:p>
    <w:p w14:paraId="799427AF" w14:textId="3AC2FB25" w:rsidR="006C2775" w:rsidRPr="007F3A33" w:rsidRDefault="006C2775" w:rsidP="001A01E2">
      <w:pPr>
        <w:pStyle w:val="ListParagraph"/>
        <w:numPr>
          <w:ilvl w:val="3"/>
          <w:numId w:val="28"/>
        </w:numPr>
        <w:rPr>
          <w:lang w:val="en-GB"/>
        </w:rPr>
      </w:pPr>
      <w:r w:rsidRPr="007F3A33">
        <w:rPr>
          <w:lang w:val="en-GB"/>
        </w:rPr>
        <w:t>Safety</w:t>
      </w:r>
    </w:p>
    <w:p w14:paraId="790E043B" w14:textId="77777777" w:rsidR="006C2775" w:rsidRDefault="006C2775" w:rsidP="001A01E2">
      <w:pPr>
        <w:pStyle w:val="ListParagraph"/>
        <w:numPr>
          <w:ilvl w:val="3"/>
          <w:numId w:val="28"/>
        </w:numPr>
        <w:rPr>
          <w:lang w:val="en-GB"/>
        </w:rPr>
      </w:pPr>
      <w:r>
        <w:rPr>
          <w:lang w:val="en-GB"/>
        </w:rPr>
        <w:t>Security</w:t>
      </w:r>
    </w:p>
    <w:p w14:paraId="091BE032" w14:textId="77777777" w:rsidR="006C2775" w:rsidRDefault="006C2775" w:rsidP="001A01E2">
      <w:pPr>
        <w:pStyle w:val="ListParagraph"/>
        <w:numPr>
          <w:ilvl w:val="3"/>
          <w:numId w:val="28"/>
        </w:numPr>
        <w:rPr>
          <w:lang w:val="en-GB"/>
        </w:rPr>
      </w:pPr>
      <w:r>
        <w:rPr>
          <w:lang w:val="en-GB"/>
        </w:rPr>
        <w:t>Personnel</w:t>
      </w:r>
    </w:p>
    <w:p w14:paraId="1AE8A0AE" w14:textId="77777777" w:rsidR="003D4C3F" w:rsidRDefault="003D4C3F" w:rsidP="001A01E2">
      <w:pPr>
        <w:pStyle w:val="ListParagraph"/>
        <w:numPr>
          <w:ilvl w:val="3"/>
          <w:numId w:val="28"/>
        </w:numPr>
        <w:rPr>
          <w:lang w:val="en-GB"/>
        </w:rPr>
      </w:pPr>
      <w:r>
        <w:rPr>
          <w:lang w:val="en-GB"/>
        </w:rPr>
        <w:t>Training</w:t>
      </w:r>
    </w:p>
    <w:p w14:paraId="06AE6DDA" w14:textId="77777777" w:rsidR="00030B9C" w:rsidRDefault="003D4C3F" w:rsidP="001A01E2">
      <w:pPr>
        <w:pStyle w:val="ListParagraph"/>
        <w:numPr>
          <w:ilvl w:val="3"/>
          <w:numId w:val="29"/>
        </w:numPr>
        <w:rPr>
          <w:lang w:val="en-GB"/>
        </w:rPr>
      </w:pPr>
      <w:r w:rsidRPr="008B7316">
        <w:rPr>
          <w:lang w:val="en-GB"/>
        </w:rPr>
        <w:t xml:space="preserve">Infrastructure </w:t>
      </w:r>
    </w:p>
    <w:p w14:paraId="662A3FF7" w14:textId="2D5AC740" w:rsidR="005C348C" w:rsidRDefault="00030B9C" w:rsidP="001A01E2">
      <w:pPr>
        <w:pStyle w:val="ListParagraph"/>
        <w:numPr>
          <w:ilvl w:val="3"/>
          <w:numId w:val="29"/>
        </w:numPr>
        <w:rPr>
          <w:lang w:val="en-GB"/>
        </w:rPr>
      </w:pPr>
      <w:r>
        <w:rPr>
          <w:lang w:val="en-GB"/>
        </w:rPr>
        <w:t xml:space="preserve">Finance </w:t>
      </w:r>
    </w:p>
    <w:p w14:paraId="278EC8CE" w14:textId="64DFA0F7" w:rsidR="00030B9C" w:rsidRPr="008B7316" w:rsidRDefault="00030B9C" w:rsidP="001A01E2">
      <w:pPr>
        <w:pStyle w:val="ListParagraph"/>
        <w:numPr>
          <w:ilvl w:val="3"/>
          <w:numId w:val="29"/>
        </w:numPr>
        <w:rPr>
          <w:lang w:val="en-GB"/>
        </w:rPr>
      </w:pPr>
      <w:r>
        <w:rPr>
          <w:lang w:val="en-GB"/>
        </w:rPr>
        <w:t>Materiel Acquisition</w:t>
      </w:r>
    </w:p>
    <w:p w14:paraId="08EEF48C" w14:textId="64787DF8" w:rsidR="000F6EBA" w:rsidRPr="00233C82" w:rsidRDefault="005C348C" w:rsidP="001A01E2">
      <w:pPr>
        <w:pStyle w:val="ListParagraph"/>
        <w:numPr>
          <w:ilvl w:val="3"/>
          <w:numId w:val="29"/>
        </w:numPr>
        <w:rPr>
          <w:lang w:val="en-GB"/>
        </w:rPr>
      </w:pPr>
      <w:r>
        <w:rPr>
          <w:lang w:val="en-GB"/>
        </w:rPr>
        <w:t>O</w:t>
      </w:r>
      <w:r w:rsidR="000F6EBA" w:rsidRPr="00233C82">
        <w:rPr>
          <w:lang w:val="en-GB"/>
        </w:rPr>
        <w:t>vers</w:t>
      </w:r>
      <w:r w:rsidR="005464D4">
        <w:rPr>
          <w:lang w:val="en-GB"/>
        </w:rPr>
        <w:t>i</w:t>
      </w:r>
      <w:r w:rsidR="000F6EBA" w:rsidRPr="00233C82">
        <w:rPr>
          <w:lang w:val="en-GB"/>
        </w:rPr>
        <w:t>ght</w:t>
      </w:r>
      <w:r>
        <w:rPr>
          <w:lang w:val="en-GB"/>
        </w:rPr>
        <w:t xml:space="preserve"> and </w:t>
      </w:r>
      <w:r w:rsidR="00030B9C">
        <w:rPr>
          <w:lang w:val="en-GB"/>
        </w:rPr>
        <w:t>A</w:t>
      </w:r>
      <w:r w:rsidR="000F6EBA" w:rsidRPr="00233C82">
        <w:rPr>
          <w:lang w:val="en-GB"/>
        </w:rPr>
        <w:t>udit</w:t>
      </w:r>
    </w:p>
    <w:p w14:paraId="6DFBB324" w14:textId="77777777" w:rsidR="003345ED" w:rsidRDefault="001031E7" w:rsidP="00CB5CB2">
      <w:pPr>
        <w:pStyle w:val="ListParagraph"/>
        <w:numPr>
          <w:ilvl w:val="0"/>
          <w:numId w:val="14"/>
        </w:numPr>
        <w:rPr>
          <w:lang w:val="en-GB"/>
        </w:rPr>
      </w:pPr>
      <w:r>
        <w:rPr>
          <w:lang w:val="en-GB"/>
        </w:rPr>
        <w:t>The coordinator and team should</w:t>
      </w:r>
      <w:r w:rsidR="003345ED">
        <w:rPr>
          <w:lang w:val="en-GB"/>
        </w:rPr>
        <w:t>:</w:t>
      </w:r>
    </w:p>
    <w:p w14:paraId="58C50010" w14:textId="77777777" w:rsidR="00BF5204" w:rsidRPr="00421D19" w:rsidRDefault="00BF5204" w:rsidP="003345ED">
      <w:pPr>
        <w:pStyle w:val="ListParagraph"/>
        <w:numPr>
          <w:ilvl w:val="1"/>
          <w:numId w:val="14"/>
        </w:numPr>
        <w:rPr>
          <w:b/>
          <w:bCs/>
          <w:lang w:val="en-GB"/>
        </w:rPr>
      </w:pPr>
      <w:r w:rsidRPr="00421D19">
        <w:rPr>
          <w:b/>
          <w:bCs/>
          <w:lang w:val="en-GB"/>
        </w:rPr>
        <w:t>Ensure a common understanding of the tool:</w:t>
      </w:r>
    </w:p>
    <w:p w14:paraId="25574F4A" w14:textId="2729C1F5" w:rsidR="009525C0" w:rsidRPr="009932DD" w:rsidRDefault="003345ED" w:rsidP="00421D19">
      <w:pPr>
        <w:pStyle w:val="ListParagraph"/>
        <w:ind w:left="1080" w:firstLine="360"/>
        <w:rPr>
          <w:lang w:val="en-GB"/>
        </w:rPr>
      </w:pPr>
      <w:r>
        <w:rPr>
          <w:lang w:val="en-GB"/>
        </w:rPr>
        <w:t xml:space="preserve">Be aware of </w:t>
      </w:r>
      <w:r w:rsidR="000F6EBA" w:rsidRPr="0014598A">
        <w:rPr>
          <w:lang w:val="en-GB"/>
        </w:rPr>
        <w:t xml:space="preserve">the purpose of AAMVS, the 1–5 scoring scale, and how the results will be </w:t>
      </w:r>
      <w:r w:rsidR="00421D19">
        <w:rPr>
          <w:lang w:val="en-GB"/>
        </w:rPr>
        <w:tab/>
      </w:r>
      <w:r w:rsidR="000F6EBA" w:rsidRPr="0014598A">
        <w:rPr>
          <w:lang w:val="en-GB"/>
        </w:rPr>
        <w:t>used</w:t>
      </w:r>
      <w:r w:rsidR="009525C0">
        <w:rPr>
          <w:lang w:val="en-GB"/>
        </w:rPr>
        <w:t>.</w:t>
      </w:r>
      <w:r w:rsidR="00B41416">
        <w:rPr>
          <w:lang w:val="en-GB"/>
        </w:rPr>
        <w:t xml:space="preserve"> </w:t>
      </w:r>
      <w:r w:rsidR="001D44E0">
        <w:rPr>
          <w:lang w:val="en-GB"/>
        </w:rPr>
        <w:t xml:space="preserve">The importance of </w:t>
      </w:r>
      <w:r w:rsidR="00D503B2" w:rsidRPr="009932DD">
        <w:rPr>
          <w:lang w:val="en-GB"/>
        </w:rPr>
        <w:t>supporting evidence for certain questions</w:t>
      </w:r>
      <w:r w:rsidR="001D44E0">
        <w:rPr>
          <w:lang w:val="en-GB"/>
        </w:rPr>
        <w:t xml:space="preserve"> should also be </w:t>
      </w:r>
      <w:r w:rsidR="00421D19">
        <w:rPr>
          <w:lang w:val="en-GB"/>
        </w:rPr>
        <w:tab/>
      </w:r>
      <w:r w:rsidR="001D44E0">
        <w:rPr>
          <w:lang w:val="en-GB"/>
        </w:rPr>
        <w:t>noted.</w:t>
      </w:r>
    </w:p>
    <w:p w14:paraId="6DB25885" w14:textId="3C619B55" w:rsidR="000F6EBA" w:rsidRPr="00421D19" w:rsidRDefault="000F6EBA" w:rsidP="00E11E79">
      <w:pPr>
        <w:pStyle w:val="ListParagraph"/>
        <w:numPr>
          <w:ilvl w:val="1"/>
          <w:numId w:val="14"/>
        </w:numPr>
        <w:rPr>
          <w:b/>
          <w:bCs/>
          <w:lang w:val="en-GB"/>
        </w:rPr>
      </w:pPr>
      <w:r w:rsidRPr="00421D19">
        <w:rPr>
          <w:b/>
          <w:bCs/>
          <w:lang w:val="en-GB"/>
        </w:rPr>
        <w:t>Gather key document</w:t>
      </w:r>
      <w:r w:rsidR="001B42D7" w:rsidRPr="00421D19">
        <w:rPr>
          <w:b/>
          <w:bCs/>
          <w:lang w:val="en-GB"/>
        </w:rPr>
        <w:t>s</w:t>
      </w:r>
      <w:r w:rsidRPr="00421D19">
        <w:rPr>
          <w:b/>
          <w:bCs/>
          <w:lang w:val="en-GB"/>
        </w:rPr>
        <w:t xml:space="preserve"> and data</w:t>
      </w:r>
      <w:r w:rsidR="00404097" w:rsidRPr="00421D19">
        <w:rPr>
          <w:b/>
          <w:bCs/>
          <w:lang w:val="en-GB"/>
        </w:rPr>
        <w:t>:</w:t>
      </w:r>
    </w:p>
    <w:p w14:paraId="6DFACA0B" w14:textId="5267A5C0" w:rsidR="000F6EBA" w:rsidRPr="0014598A" w:rsidRDefault="000F6EBA" w:rsidP="00421D19">
      <w:pPr>
        <w:pStyle w:val="ListParagraph"/>
        <w:ind w:left="1440"/>
        <w:rPr>
          <w:lang w:val="en-GB"/>
        </w:rPr>
      </w:pPr>
      <w:r w:rsidRPr="0014598A">
        <w:rPr>
          <w:lang w:val="en-GB"/>
        </w:rPr>
        <w:t>Compile relevant</w:t>
      </w:r>
      <w:r w:rsidR="00BF5204">
        <w:rPr>
          <w:lang w:val="en-GB"/>
        </w:rPr>
        <w:t xml:space="preserve"> materials at the end-user level, including</w:t>
      </w:r>
      <w:r w:rsidRPr="0014598A">
        <w:rPr>
          <w:lang w:val="en-GB"/>
        </w:rPr>
        <w:t xml:space="preserve"> laws and regulations, SOPs, organisational charts, training plans, inspection reports, and recent incident or audit findings.</w:t>
      </w:r>
    </w:p>
    <w:p w14:paraId="51BC6DCB" w14:textId="763DB513" w:rsidR="000F6EBA" w:rsidRPr="00421D19" w:rsidRDefault="000F6EBA" w:rsidP="00E11E79">
      <w:pPr>
        <w:pStyle w:val="ListParagraph"/>
        <w:numPr>
          <w:ilvl w:val="1"/>
          <w:numId w:val="14"/>
        </w:numPr>
        <w:rPr>
          <w:b/>
          <w:bCs/>
          <w:lang w:val="en-GB"/>
        </w:rPr>
      </w:pPr>
      <w:r w:rsidRPr="00421D19">
        <w:rPr>
          <w:b/>
          <w:bCs/>
          <w:lang w:val="en-GB"/>
        </w:rPr>
        <w:t>Complete the questionnaire section by section</w:t>
      </w:r>
      <w:r w:rsidR="00527197" w:rsidRPr="00421D19">
        <w:rPr>
          <w:b/>
          <w:bCs/>
          <w:lang w:val="en-GB"/>
        </w:rPr>
        <w:t>:</w:t>
      </w:r>
    </w:p>
    <w:p w14:paraId="421E543C" w14:textId="7470B045" w:rsidR="008773A2" w:rsidRDefault="008773A2" w:rsidP="00421D19">
      <w:pPr>
        <w:pStyle w:val="ListParagraph"/>
        <w:ind w:left="1440"/>
        <w:rPr>
          <w:lang w:val="en-GB"/>
        </w:rPr>
      </w:pPr>
      <w:r>
        <w:rPr>
          <w:lang w:val="en-GB"/>
        </w:rPr>
        <w:t xml:space="preserve">Hold </w:t>
      </w:r>
      <w:r w:rsidR="007C7EA2">
        <w:rPr>
          <w:lang w:val="en-GB"/>
        </w:rPr>
        <w:t xml:space="preserve">short working sessions (in person or virtual) where the responsible persons </w:t>
      </w:r>
      <w:r w:rsidR="00246FD2">
        <w:rPr>
          <w:lang w:val="en-GB"/>
        </w:rPr>
        <w:t xml:space="preserve">propose scores and briefly explain the evidence behind them. </w:t>
      </w:r>
      <w:r w:rsidR="00C779DB">
        <w:rPr>
          <w:lang w:val="en-GB"/>
        </w:rPr>
        <w:t>Where views differ, the reason</w:t>
      </w:r>
      <w:r w:rsidR="00FD2A02">
        <w:rPr>
          <w:lang w:val="en-GB"/>
        </w:rPr>
        <w:t xml:space="preserve">s should be recorded </w:t>
      </w:r>
      <w:r w:rsidR="00C779DB">
        <w:rPr>
          <w:lang w:val="en-GB"/>
        </w:rPr>
        <w:t>in the comments fi</w:t>
      </w:r>
      <w:r w:rsidR="00BD3D1F">
        <w:rPr>
          <w:lang w:val="en-GB"/>
        </w:rPr>
        <w:t>eld and</w:t>
      </w:r>
      <w:r w:rsidR="002E2FC9">
        <w:rPr>
          <w:lang w:val="en-GB"/>
        </w:rPr>
        <w:t xml:space="preserve"> </w:t>
      </w:r>
      <w:r w:rsidR="00BD3D1F">
        <w:rPr>
          <w:lang w:val="en-GB"/>
        </w:rPr>
        <w:t xml:space="preserve">the </w:t>
      </w:r>
      <w:r w:rsidR="00BD3D1F" w:rsidRPr="008C6E71">
        <w:rPr>
          <w:b/>
          <w:bCs/>
          <w:lang w:val="en-GB"/>
        </w:rPr>
        <w:t xml:space="preserve">lower </w:t>
      </w:r>
      <w:r w:rsidR="00BD3D1F">
        <w:rPr>
          <w:lang w:val="en-GB"/>
        </w:rPr>
        <w:t>score</w:t>
      </w:r>
      <w:r w:rsidR="00FD2A02">
        <w:rPr>
          <w:lang w:val="en-GB"/>
        </w:rPr>
        <w:t xml:space="preserve"> should be </w:t>
      </w:r>
      <w:r w:rsidR="00E6075B">
        <w:rPr>
          <w:lang w:val="en-GB"/>
        </w:rPr>
        <w:t>inputted.</w:t>
      </w:r>
    </w:p>
    <w:p w14:paraId="6B14EFC1" w14:textId="552F25A8" w:rsidR="00792499" w:rsidRPr="00421D19" w:rsidRDefault="006B5181" w:rsidP="00E6075B">
      <w:pPr>
        <w:pStyle w:val="ListParagraph"/>
        <w:numPr>
          <w:ilvl w:val="1"/>
          <w:numId w:val="14"/>
        </w:numPr>
        <w:rPr>
          <w:b/>
          <w:bCs/>
          <w:lang w:val="en-GB"/>
        </w:rPr>
      </w:pPr>
      <w:r w:rsidRPr="00421D19">
        <w:rPr>
          <w:b/>
          <w:bCs/>
          <w:lang w:val="en-GB"/>
        </w:rPr>
        <w:t xml:space="preserve">Validate and </w:t>
      </w:r>
      <w:r w:rsidR="001641C1">
        <w:rPr>
          <w:b/>
          <w:bCs/>
          <w:lang w:val="en-GB"/>
        </w:rPr>
        <w:t>consolidate</w:t>
      </w:r>
      <w:r w:rsidRPr="00421D19">
        <w:rPr>
          <w:b/>
          <w:bCs/>
          <w:lang w:val="en-GB"/>
        </w:rPr>
        <w:t xml:space="preserve"> responses</w:t>
      </w:r>
      <w:r w:rsidR="003C3CD8" w:rsidRPr="00421D19">
        <w:rPr>
          <w:b/>
          <w:bCs/>
          <w:lang w:val="en-GB"/>
        </w:rPr>
        <w:t>:</w:t>
      </w:r>
    </w:p>
    <w:p w14:paraId="204F6038" w14:textId="0B75E366" w:rsidR="003C3CD8" w:rsidRDefault="003C3CD8" w:rsidP="00421D19">
      <w:pPr>
        <w:pStyle w:val="ListParagraph"/>
        <w:ind w:left="1440"/>
        <w:rPr>
          <w:lang w:val="en-GB"/>
        </w:rPr>
      </w:pPr>
      <w:r>
        <w:rPr>
          <w:lang w:val="en-GB"/>
        </w:rPr>
        <w:t xml:space="preserve">Review the full </w:t>
      </w:r>
      <w:r w:rsidR="00F4483D">
        <w:rPr>
          <w:lang w:val="en-GB"/>
        </w:rPr>
        <w:t xml:space="preserve">set of scores </w:t>
      </w:r>
      <w:r w:rsidR="00437B37">
        <w:rPr>
          <w:lang w:val="en-GB"/>
        </w:rPr>
        <w:t xml:space="preserve">for consistency and </w:t>
      </w:r>
      <w:r w:rsidR="001641C1">
        <w:rPr>
          <w:lang w:val="en-GB"/>
        </w:rPr>
        <w:t xml:space="preserve">identify </w:t>
      </w:r>
      <w:r w:rsidR="00437B37">
        <w:rPr>
          <w:lang w:val="en-GB"/>
        </w:rPr>
        <w:t xml:space="preserve">any obvious gaps or contradictions. </w:t>
      </w:r>
      <w:r w:rsidR="000879DA">
        <w:rPr>
          <w:lang w:val="en-GB"/>
        </w:rPr>
        <w:t>A</w:t>
      </w:r>
      <w:r w:rsidR="00441CAF">
        <w:rPr>
          <w:lang w:val="en-GB"/>
        </w:rPr>
        <w:t>ny disparities</w:t>
      </w:r>
      <w:r w:rsidR="000879DA">
        <w:rPr>
          <w:lang w:val="en-GB"/>
        </w:rPr>
        <w:t xml:space="preserve"> should be ad</w:t>
      </w:r>
      <w:r w:rsidR="00EE6E42">
        <w:rPr>
          <w:lang w:val="en-GB"/>
        </w:rPr>
        <w:t>d</w:t>
      </w:r>
      <w:r w:rsidR="000879DA">
        <w:rPr>
          <w:lang w:val="en-GB"/>
        </w:rPr>
        <w:t>ressed</w:t>
      </w:r>
      <w:r w:rsidR="00441CAF">
        <w:rPr>
          <w:lang w:val="en-GB"/>
        </w:rPr>
        <w:t>.</w:t>
      </w:r>
    </w:p>
    <w:p w14:paraId="493F3A75" w14:textId="2D354EFF" w:rsidR="001641C1" w:rsidRPr="00421D19" w:rsidRDefault="001641C1" w:rsidP="00925380">
      <w:pPr>
        <w:pStyle w:val="ListParagraph"/>
        <w:numPr>
          <w:ilvl w:val="0"/>
          <w:numId w:val="27"/>
        </w:numPr>
        <w:rPr>
          <w:b/>
          <w:bCs/>
          <w:lang w:val="en-GB"/>
        </w:rPr>
      </w:pPr>
      <w:r w:rsidRPr="00421D19">
        <w:rPr>
          <w:b/>
          <w:bCs/>
          <w:lang w:val="en-GB"/>
        </w:rPr>
        <w:t>Analyse the results and identify priorities:</w:t>
      </w:r>
    </w:p>
    <w:p w14:paraId="73674A64" w14:textId="15946918" w:rsidR="005C3EBE" w:rsidRPr="00925380" w:rsidRDefault="00EE6E42" w:rsidP="00421D19">
      <w:pPr>
        <w:pStyle w:val="ListParagraph"/>
        <w:ind w:left="1440"/>
        <w:rPr>
          <w:lang w:val="en-GB"/>
        </w:rPr>
      </w:pPr>
      <w:r w:rsidRPr="00925380">
        <w:rPr>
          <w:lang w:val="en-GB"/>
        </w:rPr>
        <w:t>E</w:t>
      </w:r>
      <w:r w:rsidR="004D032E" w:rsidRPr="00925380">
        <w:rPr>
          <w:lang w:val="en-GB"/>
        </w:rPr>
        <w:t>xamine the average scores</w:t>
      </w:r>
      <w:r w:rsidR="00EA7C1C" w:rsidRPr="00925380">
        <w:rPr>
          <w:lang w:val="en-GB"/>
        </w:rPr>
        <w:t xml:space="preserve">, </w:t>
      </w:r>
      <w:r w:rsidR="004D032E" w:rsidRPr="00925380">
        <w:rPr>
          <w:lang w:val="en-GB"/>
        </w:rPr>
        <w:t>the bar chart</w:t>
      </w:r>
      <w:r w:rsidR="00EA7C1C" w:rsidRPr="00925380">
        <w:rPr>
          <w:lang w:val="en-GB"/>
        </w:rPr>
        <w:t xml:space="preserve"> and</w:t>
      </w:r>
      <w:r w:rsidR="00107525" w:rsidRPr="00925380">
        <w:rPr>
          <w:lang w:val="en-GB"/>
        </w:rPr>
        <w:t xml:space="preserve"> the scores for individual q</w:t>
      </w:r>
      <w:r w:rsidR="00B128E4" w:rsidRPr="00925380">
        <w:rPr>
          <w:lang w:val="en-GB"/>
        </w:rPr>
        <w:t>uestions</w:t>
      </w:r>
      <w:r w:rsidR="005D04B5">
        <w:rPr>
          <w:lang w:val="en-GB"/>
        </w:rPr>
        <w:t xml:space="preserve"> to identify</w:t>
      </w:r>
      <w:r w:rsidR="00CB3F4F" w:rsidRPr="00925380">
        <w:rPr>
          <w:lang w:val="en-GB"/>
        </w:rPr>
        <w:t xml:space="preserve"> </w:t>
      </w:r>
      <w:r w:rsidR="00C46F25" w:rsidRPr="00925380">
        <w:rPr>
          <w:lang w:val="en-GB"/>
        </w:rPr>
        <w:t>systemic strengths, weaknesses and critical outliers.</w:t>
      </w:r>
      <w:r w:rsidR="005D04B5">
        <w:rPr>
          <w:lang w:val="en-GB"/>
        </w:rPr>
        <w:t xml:space="preserve"> Where</w:t>
      </w:r>
      <w:r w:rsidR="00383034" w:rsidRPr="00925380">
        <w:rPr>
          <w:lang w:val="en-GB"/>
        </w:rPr>
        <w:t xml:space="preserve"> appropriate, </w:t>
      </w:r>
      <w:r w:rsidR="00E227FD" w:rsidRPr="00925380">
        <w:rPr>
          <w:lang w:val="en-GB"/>
        </w:rPr>
        <w:t xml:space="preserve">3-5 priority areas </w:t>
      </w:r>
      <w:r w:rsidR="00A8160F" w:rsidRPr="00925380">
        <w:rPr>
          <w:lang w:val="en-GB"/>
        </w:rPr>
        <w:t xml:space="preserve">should be agreed </w:t>
      </w:r>
      <w:r w:rsidR="00E227FD" w:rsidRPr="00925380">
        <w:rPr>
          <w:lang w:val="en-GB"/>
        </w:rPr>
        <w:t xml:space="preserve">where early intervention is required </w:t>
      </w:r>
      <w:r w:rsidR="000679F0" w:rsidRPr="00925380">
        <w:rPr>
          <w:lang w:val="en-GB"/>
        </w:rPr>
        <w:t>(potentially with the help of external partners).</w:t>
      </w:r>
    </w:p>
    <w:p w14:paraId="5569E346" w14:textId="602840CB" w:rsidR="00086940" w:rsidRPr="00421D19" w:rsidRDefault="00086940" w:rsidP="00A8160F">
      <w:pPr>
        <w:pStyle w:val="ListParagraph"/>
        <w:numPr>
          <w:ilvl w:val="1"/>
          <w:numId w:val="14"/>
        </w:numPr>
        <w:rPr>
          <w:b/>
          <w:bCs/>
          <w:lang w:val="en-GB"/>
        </w:rPr>
      </w:pPr>
      <w:r w:rsidRPr="00421D19">
        <w:rPr>
          <w:b/>
          <w:bCs/>
          <w:lang w:val="en-GB"/>
        </w:rPr>
        <w:t>Submit the finalised assessment:</w:t>
      </w:r>
    </w:p>
    <w:p w14:paraId="12C5CA9E" w14:textId="3CC17D6E" w:rsidR="00B476FE" w:rsidRPr="00621BE6" w:rsidRDefault="00421D19" w:rsidP="00421D19">
      <w:pPr>
        <w:pStyle w:val="ListParagraph"/>
        <w:ind w:left="1080"/>
        <w:rPr>
          <w:lang w:val="en-GB"/>
        </w:rPr>
      </w:pPr>
      <w:r>
        <w:rPr>
          <w:lang w:val="en-GB"/>
        </w:rPr>
        <w:tab/>
      </w:r>
      <w:r w:rsidR="005C3EBE">
        <w:rPr>
          <w:lang w:val="en-GB"/>
        </w:rPr>
        <w:t xml:space="preserve">Submit the </w:t>
      </w:r>
      <w:r w:rsidR="00C15FE3">
        <w:rPr>
          <w:lang w:val="en-GB"/>
        </w:rPr>
        <w:t xml:space="preserve">completed AAMVS </w:t>
      </w:r>
      <w:r w:rsidR="00CB679C">
        <w:rPr>
          <w:lang w:val="en-GB"/>
        </w:rPr>
        <w:t>self-asses</w:t>
      </w:r>
      <w:r w:rsidR="006368DC">
        <w:rPr>
          <w:lang w:val="en-GB"/>
        </w:rPr>
        <w:t>s</w:t>
      </w:r>
      <w:r w:rsidR="00CB679C">
        <w:rPr>
          <w:lang w:val="en-GB"/>
        </w:rPr>
        <w:t>ment</w:t>
      </w:r>
      <w:r w:rsidR="008530B3">
        <w:rPr>
          <w:lang w:val="en-GB"/>
        </w:rPr>
        <w:t xml:space="preserve"> to the </w:t>
      </w:r>
      <w:r w:rsidR="000F6268">
        <w:rPr>
          <w:lang w:val="en-GB"/>
        </w:rPr>
        <w:t xml:space="preserve">senior official with designated </w:t>
      </w:r>
      <w:r>
        <w:rPr>
          <w:lang w:val="en-GB"/>
        </w:rPr>
        <w:tab/>
      </w:r>
      <w:r w:rsidR="000F6268">
        <w:rPr>
          <w:lang w:val="en-GB"/>
        </w:rPr>
        <w:t>authority to</w:t>
      </w:r>
      <w:r w:rsidR="00485BAE">
        <w:rPr>
          <w:lang w:val="en-GB"/>
        </w:rPr>
        <w:t xml:space="preserve"> </w:t>
      </w:r>
      <w:r w:rsidR="00744AF1">
        <w:rPr>
          <w:lang w:val="en-GB"/>
        </w:rPr>
        <w:t xml:space="preserve">approve and </w:t>
      </w:r>
      <w:r w:rsidR="005B0905">
        <w:rPr>
          <w:lang w:val="en-GB"/>
        </w:rPr>
        <w:t xml:space="preserve">release the </w:t>
      </w:r>
      <w:r w:rsidR="00DA0BD5">
        <w:rPr>
          <w:lang w:val="en-GB"/>
        </w:rPr>
        <w:t xml:space="preserve">report to the intended </w:t>
      </w:r>
      <w:r w:rsidR="00472A9D">
        <w:rPr>
          <w:lang w:val="en-GB"/>
        </w:rPr>
        <w:t>recipients.</w:t>
      </w:r>
    </w:p>
    <w:p w14:paraId="49AC4E3C" w14:textId="093DAEA6" w:rsidR="00BE0B65" w:rsidRPr="00567F84" w:rsidRDefault="00157E1D" w:rsidP="00CB5CB2">
      <w:pPr>
        <w:pStyle w:val="Heading2"/>
        <w:rPr>
          <w:color w:val="95B3D7" w:themeColor="accent1" w:themeTint="99"/>
          <w:lang w:val="en-GB"/>
        </w:rPr>
      </w:pPr>
      <w:r w:rsidRPr="00567F84">
        <w:rPr>
          <w:color w:val="95B3D7" w:themeColor="accent1" w:themeTint="99"/>
          <w:lang w:val="en-GB"/>
        </w:rPr>
        <w:t xml:space="preserve">5.2  </w:t>
      </w:r>
      <w:r w:rsidR="00543B17" w:rsidRPr="00567F84">
        <w:rPr>
          <w:color w:val="95B3D7" w:themeColor="accent1" w:themeTint="99"/>
          <w:lang w:val="en-GB"/>
        </w:rPr>
        <w:t>Step-by-Step Instructions</w:t>
      </w:r>
    </w:p>
    <w:p w14:paraId="7037974D" w14:textId="505391F9" w:rsidR="006E04B1" w:rsidRPr="0014598A" w:rsidRDefault="006E04B1" w:rsidP="00F01C34">
      <w:pPr>
        <w:rPr>
          <w:lang w:val="en-GB"/>
        </w:rPr>
      </w:pPr>
      <w:r w:rsidRPr="0014598A">
        <w:rPr>
          <w:lang w:val="en-GB"/>
        </w:rPr>
        <w:t xml:space="preserve">To complete a self-assessment, </w:t>
      </w:r>
      <w:r w:rsidR="002F5EE4">
        <w:rPr>
          <w:lang w:val="en-GB"/>
        </w:rPr>
        <w:t xml:space="preserve">the following </w:t>
      </w:r>
      <w:r w:rsidRPr="0014598A">
        <w:rPr>
          <w:lang w:val="en-GB"/>
        </w:rPr>
        <w:t>steps</w:t>
      </w:r>
      <w:r w:rsidR="00BD24D0">
        <w:rPr>
          <w:lang w:val="en-GB"/>
        </w:rPr>
        <w:t xml:space="preserve"> should be taken</w:t>
      </w:r>
      <w:r w:rsidRPr="0014598A">
        <w:rPr>
          <w:lang w:val="en-GB"/>
        </w:rPr>
        <w:t>:</w:t>
      </w:r>
    </w:p>
    <w:p w14:paraId="1FB46999" w14:textId="49658B5F" w:rsidR="006E04B1" w:rsidRPr="0014598A" w:rsidRDefault="00783B10" w:rsidP="00DD02A3">
      <w:pPr>
        <w:pStyle w:val="ListParagraph"/>
        <w:numPr>
          <w:ilvl w:val="0"/>
          <w:numId w:val="10"/>
        </w:numPr>
        <w:rPr>
          <w:lang w:val="en-GB"/>
        </w:rPr>
      </w:pPr>
      <w:r>
        <w:rPr>
          <w:lang w:val="en-GB"/>
        </w:rPr>
        <w:lastRenderedPageBreak/>
        <w:t xml:space="preserve">Open the AAMVS </w:t>
      </w:r>
      <w:r w:rsidR="004D3FAB">
        <w:rPr>
          <w:lang w:val="en-GB"/>
        </w:rPr>
        <w:t>Excel file</w:t>
      </w:r>
      <w:r w:rsidR="009E426F">
        <w:rPr>
          <w:lang w:val="en-GB"/>
        </w:rPr>
        <w:t xml:space="preserve"> and </w:t>
      </w:r>
      <w:r w:rsidR="005F5799" w:rsidRPr="0014598A">
        <w:rPr>
          <w:lang w:val="en-GB"/>
        </w:rPr>
        <w:t>e</w:t>
      </w:r>
      <w:r w:rsidR="006E04B1" w:rsidRPr="0014598A">
        <w:rPr>
          <w:lang w:val="en-GB"/>
        </w:rPr>
        <w:t xml:space="preserve">nable </w:t>
      </w:r>
      <w:r w:rsidR="005F5799" w:rsidRPr="0014598A">
        <w:rPr>
          <w:lang w:val="en-GB"/>
        </w:rPr>
        <w:t>‘</w:t>
      </w:r>
      <w:r w:rsidR="006E04B1" w:rsidRPr="0014598A">
        <w:rPr>
          <w:lang w:val="en-GB"/>
        </w:rPr>
        <w:t>active content</w:t>
      </w:r>
      <w:r w:rsidR="005F5799" w:rsidRPr="0014598A">
        <w:rPr>
          <w:lang w:val="en-GB"/>
        </w:rPr>
        <w:t>’</w:t>
      </w:r>
      <w:r w:rsidR="006E04B1" w:rsidRPr="0014598A">
        <w:rPr>
          <w:lang w:val="en-GB"/>
        </w:rPr>
        <w:t xml:space="preserve"> in the document.</w:t>
      </w:r>
      <w:r w:rsidR="005F5799" w:rsidRPr="0014598A">
        <w:rPr>
          <w:lang w:val="en-GB"/>
        </w:rPr>
        <w:t xml:space="preserve"> This is necessary for the help boxes and </w:t>
      </w:r>
      <w:r w:rsidR="006967FD">
        <w:rPr>
          <w:lang w:val="en-GB"/>
        </w:rPr>
        <w:t xml:space="preserve">the </w:t>
      </w:r>
      <w:r w:rsidR="005F5799" w:rsidRPr="0014598A">
        <w:rPr>
          <w:lang w:val="en-GB"/>
        </w:rPr>
        <w:t>scor</w:t>
      </w:r>
      <w:r w:rsidR="00C87496">
        <w:rPr>
          <w:lang w:val="en-GB"/>
        </w:rPr>
        <w:t>ing</w:t>
      </w:r>
      <w:r w:rsidR="005F5799" w:rsidRPr="0014598A">
        <w:rPr>
          <w:lang w:val="en-GB"/>
        </w:rPr>
        <w:t xml:space="preserve"> </w:t>
      </w:r>
      <w:r w:rsidR="006967FD">
        <w:rPr>
          <w:lang w:val="en-GB"/>
        </w:rPr>
        <w:t xml:space="preserve">software </w:t>
      </w:r>
      <w:r w:rsidR="005F5799" w:rsidRPr="0014598A">
        <w:rPr>
          <w:lang w:val="en-GB"/>
        </w:rPr>
        <w:t>to function properly</w:t>
      </w:r>
      <w:r w:rsidR="005F5799" w:rsidRPr="001B51EB">
        <w:rPr>
          <w:lang w:val="en-GB"/>
        </w:rPr>
        <w:t>.</w:t>
      </w:r>
      <w:r w:rsidR="008A4066" w:rsidRPr="001B51EB">
        <w:rPr>
          <w:lang w:val="en-GB"/>
        </w:rPr>
        <w:t xml:space="preserve"> </w:t>
      </w:r>
      <w:r w:rsidR="00FC04AB" w:rsidRPr="001B51EB">
        <w:rPr>
          <w:lang w:val="en-GB"/>
        </w:rPr>
        <w:t xml:space="preserve">Specific instructions on how </w:t>
      </w:r>
      <w:r w:rsidR="004C6489" w:rsidRPr="00AF6F7E">
        <w:rPr>
          <w:lang w:val="en-GB"/>
        </w:rPr>
        <w:t xml:space="preserve">to do this can be found </w:t>
      </w:r>
      <w:r w:rsidR="007C35CF" w:rsidRPr="00AF6F7E">
        <w:rPr>
          <w:lang w:val="en-GB"/>
        </w:rPr>
        <w:t xml:space="preserve">at the </w:t>
      </w:r>
      <w:r w:rsidR="002F641C" w:rsidRPr="00AF6F7E">
        <w:rPr>
          <w:lang w:val="en-GB"/>
        </w:rPr>
        <w:t xml:space="preserve">bottom </w:t>
      </w:r>
      <w:r w:rsidR="007C35CF" w:rsidRPr="00AF6F7E">
        <w:rPr>
          <w:lang w:val="en-GB"/>
        </w:rPr>
        <w:t>of the Tool Guide tab</w:t>
      </w:r>
      <w:r w:rsidR="0022620A">
        <w:rPr>
          <w:lang w:val="en-GB"/>
        </w:rPr>
        <w:t xml:space="preserve"> </w:t>
      </w:r>
      <w:r w:rsidR="00AF6F7E">
        <w:rPr>
          <w:lang w:val="en-GB"/>
        </w:rPr>
        <w:t xml:space="preserve">- </w:t>
      </w:r>
      <w:r w:rsidR="00E9407F" w:rsidRPr="00AF6F7E">
        <w:rPr>
          <w:lang w:val="en-GB"/>
        </w:rPr>
        <w:t xml:space="preserve">shown </w:t>
      </w:r>
      <w:r w:rsidR="007C35CF" w:rsidRPr="00AF6F7E">
        <w:rPr>
          <w:lang w:val="en-GB"/>
        </w:rPr>
        <w:t>i</w:t>
      </w:r>
      <w:r w:rsidR="00E017C8" w:rsidRPr="001B51EB">
        <w:rPr>
          <w:lang w:val="en-GB"/>
        </w:rPr>
        <w:t>n red</w:t>
      </w:r>
      <w:r w:rsidR="007C35CF" w:rsidRPr="00AF6F7E">
        <w:rPr>
          <w:lang w:val="en-GB"/>
        </w:rPr>
        <w:t xml:space="preserve"> font</w:t>
      </w:r>
      <w:r w:rsidR="00E017C8" w:rsidRPr="001B51EB">
        <w:rPr>
          <w:lang w:val="en-GB"/>
        </w:rPr>
        <w:t>.</w:t>
      </w:r>
      <w:r w:rsidR="00E017C8">
        <w:rPr>
          <w:lang w:val="en-GB"/>
        </w:rPr>
        <w:t xml:space="preserve"> </w:t>
      </w:r>
    </w:p>
    <w:p w14:paraId="56055D0D" w14:textId="46327381" w:rsidR="00597927" w:rsidRDefault="009B3E53" w:rsidP="00DD02A3">
      <w:pPr>
        <w:pStyle w:val="ListParagraph"/>
        <w:numPr>
          <w:ilvl w:val="0"/>
          <w:numId w:val="10"/>
        </w:numPr>
        <w:rPr>
          <w:lang w:val="en-GB"/>
        </w:rPr>
      </w:pPr>
      <w:r>
        <w:rPr>
          <w:lang w:val="en-GB"/>
        </w:rPr>
        <w:t xml:space="preserve">Read the </w:t>
      </w:r>
      <w:r w:rsidR="00EC7278">
        <w:rPr>
          <w:lang w:val="en-GB"/>
        </w:rPr>
        <w:t>contents of the</w:t>
      </w:r>
      <w:r w:rsidR="00083113">
        <w:rPr>
          <w:lang w:val="en-GB"/>
        </w:rPr>
        <w:t xml:space="preserve"> </w:t>
      </w:r>
      <w:r w:rsidR="003916EC">
        <w:rPr>
          <w:lang w:val="en-GB"/>
        </w:rPr>
        <w:t>Tool Guide</w:t>
      </w:r>
      <w:r w:rsidR="00083113">
        <w:rPr>
          <w:lang w:val="en-GB"/>
        </w:rPr>
        <w:t xml:space="preserve"> tab</w:t>
      </w:r>
      <w:r w:rsidR="003916EC">
        <w:rPr>
          <w:lang w:val="en-GB"/>
        </w:rPr>
        <w:t xml:space="preserve">. </w:t>
      </w:r>
      <w:r w:rsidR="00E76DBC">
        <w:rPr>
          <w:lang w:val="en-GB"/>
        </w:rPr>
        <w:t>T</w:t>
      </w:r>
      <w:r w:rsidR="003916EC">
        <w:rPr>
          <w:lang w:val="en-GB"/>
        </w:rPr>
        <w:t xml:space="preserve">his </w:t>
      </w:r>
      <w:r w:rsidR="007528F2">
        <w:rPr>
          <w:lang w:val="en-GB"/>
        </w:rPr>
        <w:t xml:space="preserve">step </w:t>
      </w:r>
      <w:r w:rsidR="003916EC">
        <w:rPr>
          <w:lang w:val="en-GB"/>
        </w:rPr>
        <w:t xml:space="preserve">can be by-passed if </w:t>
      </w:r>
      <w:r w:rsidR="00A06E55">
        <w:rPr>
          <w:lang w:val="en-GB"/>
        </w:rPr>
        <w:t>t</w:t>
      </w:r>
      <w:r w:rsidR="00513297">
        <w:rPr>
          <w:lang w:val="en-GB"/>
        </w:rPr>
        <w:t xml:space="preserve">he instructions </w:t>
      </w:r>
      <w:r w:rsidR="00F611EB">
        <w:rPr>
          <w:lang w:val="en-GB"/>
        </w:rPr>
        <w:t xml:space="preserve">in this document </w:t>
      </w:r>
      <w:r w:rsidR="00236F4B">
        <w:rPr>
          <w:lang w:val="en-GB"/>
        </w:rPr>
        <w:t xml:space="preserve">have been </w:t>
      </w:r>
      <w:r w:rsidR="00597927">
        <w:rPr>
          <w:lang w:val="en-GB"/>
        </w:rPr>
        <w:t xml:space="preserve">fully </w:t>
      </w:r>
      <w:r w:rsidR="00F611EB">
        <w:rPr>
          <w:lang w:val="en-GB"/>
        </w:rPr>
        <w:t>studied</w:t>
      </w:r>
      <w:r w:rsidR="00C87496">
        <w:rPr>
          <w:lang w:val="en-GB"/>
        </w:rPr>
        <w:t xml:space="preserve"> and understood</w:t>
      </w:r>
      <w:r w:rsidR="00597927">
        <w:rPr>
          <w:lang w:val="en-GB"/>
        </w:rPr>
        <w:t xml:space="preserve">. </w:t>
      </w:r>
    </w:p>
    <w:p w14:paraId="6743D989" w14:textId="4FEAEF9C" w:rsidR="006E04B1" w:rsidRPr="0014598A" w:rsidRDefault="006E04B1" w:rsidP="00DD02A3">
      <w:pPr>
        <w:pStyle w:val="ListParagraph"/>
        <w:numPr>
          <w:ilvl w:val="0"/>
          <w:numId w:val="10"/>
        </w:numPr>
        <w:rPr>
          <w:lang w:val="en-GB"/>
        </w:rPr>
      </w:pPr>
      <w:r w:rsidRPr="0014598A">
        <w:rPr>
          <w:lang w:val="en-GB"/>
        </w:rPr>
        <w:t>Open the first green functional tab (</w:t>
      </w:r>
      <w:r w:rsidR="00892F53">
        <w:rPr>
          <w:lang w:val="en-GB"/>
        </w:rPr>
        <w:t xml:space="preserve">i.e. </w:t>
      </w:r>
      <w:r w:rsidRPr="0014598A">
        <w:rPr>
          <w:i/>
          <w:iCs/>
          <w:lang w:val="en-GB"/>
        </w:rPr>
        <w:t>Legislation and Regulations</w:t>
      </w:r>
      <w:r w:rsidRPr="0014598A">
        <w:rPr>
          <w:lang w:val="en-GB"/>
        </w:rPr>
        <w:t>).</w:t>
      </w:r>
    </w:p>
    <w:p w14:paraId="30FD5D7F" w14:textId="4771ACCE" w:rsidR="006E04B1" w:rsidRPr="0014598A" w:rsidRDefault="006E04B1" w:rsidP="00DD02A3">
      <w:pPr>
        <w:pStyle w:val="ListParagraph"/>
        <w:numPr>
          <w:ilvl w:val="0"/>
          <w:numId w:val="10"/>
        </w:numPr>
        <w:rPr>
          <w:lang w:val="en-GB"/>
        </w:rPr>
      </w:pPr>
      <w:r w:rsidRPr="0014598A">
        <w:rPr>
          <w:lang w:val="en-GB"/>
        </w:rPr>
        <w:t>Read the introductory text and</w:t>
      </w:r>
      <w:r w:rsidR="00C640FA">
        <w:rPr>
          <w:lang w:val="en-GB"/>
        </w:rPr>
        <w:t>, if needed,</w:t>
      </w:r>
      <w:r w:rsidR="006E7F17">
        <w:rPr>
          <w:lang w:val="en-GB"/>
        </w:rPr>
        <w:t xml:space="preserve"> click-on </w:t>
      </w:r>
      <w:r w:rsidRPr="0014598A">
        <w:rPr>
          <w:lang w:val="en-GB"/>
        </w:rPr>
        <w:t>any linked reference</w:t>
      </w:r>
      <w:r w:rsidR="009335C4">
        <w:rPr>
          <w:lang w:val="en-GB"/>
        </w:rPr>
        <w:t>s</w:t>
      </w:r>
      <w:r w:rsidRPr="0014598A">
        <w:rPr>
          <w:lang w:val="en-GB"/>
        </w:rPr>
        <w:t>.</w:t>
      </w:r>
    </w:p>
    <w:p w14:paraId="38E16D87" w14:textId="3489FAB9" w:rsidR="005D62F1" w:rsidRPr="009335C4" w:rsidRDefault="006E04B1" w:rsidP="009167DD">
      <w:pPr>
        <w:pStyle w:val="ListParagraph"/>
        <w:numPr>
          <w:ilvl w:val="0"/>
          <w:numId w:val="10"/>
        </w:numPr>
        <w:rPr>
          <w:lang w:val="en-GB"/>
        </w:rPr>
      </w:pPr>
      <w:r w:rsidRPr="009335C4">
        <w:rPr>
          <w:lang w:val="en-GB"/>
        </w:rPr>
        <w:t xml:space="preserve">For </w:t>
      </w:r>
      <w:r w:rsidR="00F73A4D" w:rsidRPr="009335C4">
        <w:rPr>
          <w:lang w:val="en-GB"/>
        </w:rPr>
        <w:t xml:space="preserve">the first </w:t>
      </w:r>
      <w:r w:rsidRPr="009335C4">
        <w:rPr>
          <w:lang w:val="en-GB"/>
        </w:rPr>
        <w:t xml:space="preserve">question, select the level (1–5) that best reflects current practice and enter it into the </w:t>
      </w:r>
      <w:r w:rsidRPr="009335C4">
        <w:rPr>
          <w:b/>
          <w:bCs/>
          <w:lang w:val="en-GB"/>
        </w:rPr>
        <w:t>Assessed Level</w:t>
      </w:r>
      <w:r w:rsidRPr="009335C4">
        <w:rPr>
          <w:lang w:val="en-GB"/>
        </w:rPr>
        <w:t xml:space="preserve"> </w:t>
      </w:r>
      <w:r w:rsidR="00563E89" w:rsidRPr="009335C4">
        <w:rPr>
          <w:lang w:val="en-GB"/>
        </w:rPr>
        <w:t xml:space="preserve">box on the </w:t>
      </w:r>
      <w:r w:rsidR="002316F2" w:rsidRPr="009335C4">
        <w:rPr>
          <w:lang w:val="en-GB"/>
        </w:rPr>
        <w:t>r</w:t>
      </w:r>
      <w:r w:rsidR="00C40B8A" w:rsidRPr="009335C4">
        <w:rPr>
          <w:lang w:val="en-GB"/>
        </w:rPr>
        <w:t>ight-hand side</w:t>
      </w:r>
      <w:r w:rsidR="002316F2" w:rsidRPr="009335C4">
        <w:rPr>
          <w:lang w:val="en-GB"/>
        </w:rPr>
        <w:t xml:space="preserve">. </w:t>
      </w:r>
      <w:r w:rsidRPr="009335C4">
        <w:rPr>
          <w:lang w:val="en-GB"/>
        </w:rPr>
        <w:t>Consultation with other stakeholders may be required</w:t>
      </w:r>
      <w:r w:rsidR="003F0D2F" w:rsidRPr="009335C4">
        <w:rPr>
          <w:lang w:val="en-GB"/>
        </w:rPr>
        <w:t xml:space="preserve"> to establish the </w:t>
      </w:r>
      <w:r w:rsidR="00636290" w:rsidRPr="009335C4">
        <w:rPr>
          <w:lang w:val="en-GB"/>
        </w:rPr>
        <w:t>exact level</w:t>
      </w:r>
      <w:r w:rsidRPr="009335C4">
        <w:rPr>
          <w:lang w:val="en-GB"/>
        </w:rPr>
        <w:t>.</w:t>
      </w:r>
    </w:p>
    <w:p w14:paraId="16028C91" w14:textId="09EC1927" w:rsidR="00E470B4" w:rsidRPr="0014598A" w:rsidRDefault="00E470B4" w:rsidP="00E470B4">
      <w:pPr>
        <w:pStyle w:val="ListParagraph"/>
        <w:numPr>
          <w:ilvl w:val="0"/>
          <w:numId w:val="10"/>
        </w:numPr>
        <w:rPr>
          <w:lang w:val="en-GB"/>
        </w:rPr>
      </w:pPr>
      <w:r w:rsidRPr="0014598A">
        <w:rPr>
          <w:lang w:val="en-GB"/>
        </w:rPr>
        <w:t>Provide supporting evidence where requested</w:t>
      </w:r>
      <w:r w:rsidR="008175CF">
        <w:rPr>
          <w:lang w:val="en-GB"/>
        </w:rPr>
        <w:t xml:space="preserve"> in the box</w:t>
      </w:r>
      <w:r w:rsidR="00B42B65">
        <w:rPr>
          <w:lang w:val="en-GB"/>
        </w:rPr>
        <w:t xml:space="preserve"> labelled ‘Evidence, Processes &amp; Notes’.</w:t>
      </w:r>
    </w:p>
    <w:p w14:paraId="7AD7552A" w14:textId="7555C3B6" w:rsidR="00E470B4" w:rsidRPr="0014598A" w:rsidRDefault="005C39FC" w:rsidP="00E470B4">
      <w:pPr>
        <w:pStyle w:val="ListParagraph"/>
        <w:numPr>
          <w:ilvl w:val="0"/>
          <w:numId w:val="10"/>
        </w:numPr>
        <w:rPr>
          <w:lang w:val="en-GB"/>
        </w:rPr>
      </w:pPr>
      <w:r>
        <w:rPr>
          <w:lang w:val="en-GB"/>
        </w:rPr>
        <w:t xml:space="preserve">Repeat </w:t>
      </w:r>
      <w:r w:rsidR="00E470B4" w:rsidRPr="0014598A">
        <w:rPr>
          <w:lang w:val="en-GB"/>
        </w:rPr>
        <w:t>for all questions in the section.</w:t>
      </w:r>
    </w:p>
    <w:p w14:paraId="31EB18D5" w14:textId="1E57FF25" w:rsidR="00E470B4" w:rsidRPr="0014598A" w:rsidRDefault="00366363" w:rsidP="00E470B4">
      <w:pPr>
        <w:pStyle w:val="ListParagraph"/>
        <w:numPr>
          <w:ilvl w:val="0"/>
          <w:numId w:val="10"/>
        </w:numPr>
        <w:rPr>
          <w:lang w:val="en-GB"/>
        </w:rPr>
      </w:pPr>
      <w:r>
        <w:rPr>
          <w:lang w:val="en-GB"/>
        </w:rPr>
        <w:t xml:space="preserve">Fill out </w:t>
      </w:r>
      <w:r w:rsidR="00E470B4" w:rsidRPr="0014598A">
        <w:rPr>
          <w:lang w:val="en-GB"/>
        </w:rPr>
        <w:t>the</w:t>
      </w:r>
      <w:r w:rsidR="00D90DD7">
        <w:rPr>
          <w:lang w:val="en-GB"/>
        </w:rPr>
        <w:t xml:space="preserve"> </w:t>
      </w:r>
      <w:r w:rsidR="00E470B4" w:rsidRPr="0014598A">
        <w:rPr>
          <w:b/>
          <w:bCs/>
          <w:lang w:val="en-GB"/>
        </w:rPr>
        <w:t>Comments</w:t>
      </w:r>
      <w:r w:rsidR="00E470B4" w:rsidRPr="0014598A">
        <w:rPr>
          <w:lang w:val="en-GB"/>
        </w:rPr>
        <w:t xml:space="preserve"> box</w:t>
      </w:r>
      <w:r w:rsidR="006E08D6">
        <w:rPr>
          <w:lang w:val="en-GB"/>
        </w:rPr>
        <w:t xml:space="preserve">at the bottom of the </w:t>
      </w:r>
      <w:r w:rsidR="00E57CEA">
        <w:rPr>
          <w:lang w:val="en-GB"/>
        </w:rPr>
        <w:t>section</w:t>
      </w:r>
      <w:r w:rsidR="000C1360">
        <w:rPr>
          <w:lang w:val="en-GB"/>
        </w:rPr>
        <w:t>, where appropriate</w:t>
      </w:r>
      <w:r w:rsidR="00CE50E3">
        <w:rPr>
          <w:lang w:val="en-GB"/>
        </w:rPr>
        <w:t xml:space="preserve">. </w:t>
      </w:r>
    </w:p>
    <w:p w14:paraId="23245E80" w14:textId="461EFDAE" w:rsidR="00E470B4" w:rsidRDefault="00E470B4" w:rsidP="00E470B4">
      <w:pPr>
        <w:pStyle w:val="ListParagraph"/>
        <w:numPr>
          <w:ilvl w:val="0"/>
          <w:numId w:val="10"/>
        </w:numPr>
        <w:rPr>
          <w:lang w:val="en-GB"/>
        </w:rPr>
      </w:pPr>
      <w:r w:rsidRPr="0014598A">
        <w:rPr>
          <w:lang w:val="en-GB"/>
        </w:rPr>
        <w:t xml:space="preserve">Click one of the </w:t>
      </w:r>
      <w:r w:rsidR="003B380B">
        <w:rPr>
          <w:lang w:val="en-GB"/>
        </w:rPr>
        <w:t xml:space="preserve">two </w:t>
      </w:r>
      <w:r w:rsidR="00373F21">
        <w:rPr>
          <w:lang w:val="en-GB"/>
        </w:rPr>
        <w:t xml:space="preserve">available </w:t>
      </w:r>
      <w:r w:rsidRPr="0014598A">
        <w:rPr>
          <w:lang w:val="en-GB"/>
        </w:rPr>
        <w:t xml:space="preserve">yellow </w:t>
      </w:r>
      <w:r w:rsidRPr="0014598A">
        <w:rPr>
          <w:b/>
          <w:bCs/>
          <w:lang w:val="en-GB"/>
        </w:rPr>
        <w:t>Calculate</w:t>
      </w:r>
      <w:r w:rsidRPr="0014598A">
        <w:rPr>
          <w:lang w:val="en-GB"/>
        </w:rPr>
        <w:t xml:space="preserve"> buttons to generate the section’s </w:t>
      </w:r>
      <w:r w:rsidR="00ED1247">
        <w:rPr>
          <w:lang w:val="en-GB"/>
        </w:rPr>
        <w:t xml:space="preserve">mean score. </w:t>
      </w:r>
      <w:r w:rsidR="00741396">
        <w:rPr>
          <w:lang w:val="en-GB"/>
        </w:rPr>
        <w:t xml:space="preserve"> </w:t>
      </w:r>
    </w:p>
    <w:p w14:paraId="257AAA14" w14:textId="4E64A875" w:rsidR="006E04B1" w:rsidRPr="0014598A" w:rsidRDefault="006E04B1" w:rsidP="00F01C34">
      <w:pPr>
        <w:pStyle w:val="ListParagraph"/>
        <w:numPr>
          <w:ilvl w:val="0"/>
          <w:numId w:val="10"/>
        </w:numPr>
        <w:rPr>
          <w:lang w:val="en-GB"/>
        </w:rPr>
      </w:pPr>
      <w:r w:rsidRPr="0014598A">
        <w:rPr>
          <w:lang w:val="en-GB"/>
        </w:rPr>
        <w:t xml:space="preserve">Repeat steps </w:t>
      </w:r>
      <w:r w:rsidR="006A6E4E">
        <w:rPr>
          <w:lang w:val="en-GB"/>
        </w:rPr>
        <w:t>3-9</w:t>
      </w:r>
      <w:r w:rsidRPr="0014598A">
        <w:rPr>
          <w:lang w:val="en-GB"/>
        </w:rPr>
        <w:t xml:space="preserve"> for all nine functional sections.</w:t>
      </w:r>
    </w:p>
    <w:p w14:paraId="6DDB8D8A" w14:textId="314ADC08" w:rsidR="006E04B1" w:rsidRPr="0014598A" w:rsidRDefault="006E04B1" w:rsidP="00F01C34">
      <w:pPr>
        <w:pStyle w:val="ListParagraph"/>
        <w:numPr>
          <w:ilvl w:val="0"/>
          <w:numId w:val="10"/>
        </w:numPr>
        <w:rPr>
          <w:lang w:val="en-GB"/>
        </w:rPr>
      </w:pPr>
      <w:r w:rsidRPr="0014598A">
        <w:rPr>
          <w:lang w:val="en-GB"/>
        </w:rPr>
        <w:t xml:space="preserve">Open the </w:t>
      </w:r>
      <w:r w:rsidRPr="0014598A">
        <w:rPr>
          <w:b/>
          <w:bCs/>
          <w:lang w:val="en-GB"/>
        </w:rPr>
        <w:t>Results tab</w:t>
      </w:r>
      <w:r w:rsidRPr="0014598A">
        <w:rPr>
          <w:lang w:val="en-GB"/>
        </w:rPr>
        <w:t xml:space="preserve"> to view the overall</w:t>
      </w:r>
      <w:r w:rsidR="008E0A35">
        <w:rPr>
          <w:lang w:val="en-GB"/>
        </w:rPr>
        <w:t xml:space="preserve">, </w:t>
      </w:r>
      <w:r w:rsidR="00731747">
        <w:rPr>
          <w:lang w:val="en-GB"/>
        </w:rPr>
        <w:t xml:space="preserve">mean </w:t>
      </w:r>
      <w:r w:rsidRPr="0014598A">
        <w:rPr>
          <w:lang w:val="en-GB"/>
        </w:rPr>
        <w:t>scores.</w:t>
      </w:r>
    </w:p>
    <w:p w14:paraId="1AD1E3E4" w14:textId="451A40C5" w:rsidR="006E04B1" w:rsidRPr="0014598A" w:rsidRDefault="006E04B1" w:rsidP="00F01C34">
      <w:pPr>
        <w:pStyle w:val="ListParagraph"/>
        <w:numPr>
          <w:ilvl w:val="0"/>
          <w:numId w:val="10"/>
        </w:numPr>
        <w:rPr>
          <w:lang w:val="en-GB"/>
        </w:rPr>
      </w:pPr>
      <w:r w:rsidRPr="0014598A">
        <w:rPr>
          <w:lang w:val="en-GB"/>
        </w:rPr>
        <w:t xml:space="preserve">Complete the </w:t>
      </w:r>
      <w:r w:rsidRPr="0014598A">
        <w:rPr>
          <w:b/>
          <w:bCs/>
          <w:lang w:val="en-GB"/>
        </w:rPr>
        <w:t>Overview</w:t>
      </w:r>
      <w:r w:rsidRPr="0014598A">
        <w:rPr>
          <w:lang w:val="en-GB"/>
        </w:rPr>
        <w:t xml:space="preserve"> page with details of </w:t>
      </w:r>
      <w:r w:rsidR="00731747">
        <w:rPr>
          <w:lang w:val="en-GB"/>
        </w:rPr>
        <w:t xml:space="preserve">the </w:t>
      </w:r>
      <w:r w:rsidRPr="0014598A">
        <w:rPr>
          <w:lang w:val="en-GB"/>
        </w:rPr>
        <w:t>self-assessors and the releasing official.</w:t>
      </w:r>
    </w:p>
    <w:p w14:paraId="6EA597AE" w14:textId="31140968" w:rsidR="006E04B1" w:rsidRDefault="003430F4" w:rsidP="00F01C34">
      <w:pPr>
        <w:pStyle w:val="ListParagraph"/>
        <w:numPr>
          <w:ilvl w:val="0"/>
          <w:numId w:val="10"/>
        </w:numPr>
        <w:rPr>
          <w:lang w:val="en-GB"/>
        </w:rPr>
      </w:pPr>
      <w:r>
        <w:rPr>
          <w:lang w:val="en-GB"/>
        </w:rPr>
        <w:t xml:space="preserve">Produce </w:t>
      </w:r>
      <w:r w:rsidR="006E04B1" w:rsidRPr="0014598A">
        <w:rPr>
          <w:lang w:val="en-GB"/>
        </w:rPr>
        <w:t xml:space="preserve">the full assessment </w:t>
      </w:r>
      <w:r w:rsidR="00956439">
        <w:rPr>
          <w:lang w:val="en-GB"/>
        </w:rPr>
        <w:t xml:space="preserve">document </w:t>
      </w:r>
      <w:r w:rsidR="000B7EF7">
        <w:rPr>
          <w:lang w:val="en-GB"/>
        </w:rPr>
        <w:t xml:space="preserve">either </w:t>
      </w:r>
      <w:r w:rsidR="006E04B1" w:rsidRPr="0014598A">
        <w:rPr>
          <w:lang w:val="en-GB"/>
        </w:rPr>
        <w:t xml:space="preserve">as a </w:t>
      </w:r>
      <w:r w:rsidR="006E04B1" w:rsidRPr="0014598A">
        <w:rPr>
          <w:b/>
          <w:bCs/>
          <w:lang w:val="en-GB"/>
        </w:rPr>
        <w:t>PDF</w:t>
      </w:r>
      <w:r w:rsidR="006E04B1" w:rsidRPr="0014598A">
        <w:rPr>
          <w:lang w:val="en-GB"/>
        </w:rPr>
        <w:t xml:space="preserve"> </w:t>
      </w:r>
      <w:r w:rsidR="004B3ED4">
        <w:rPr>
          <w:lang w:val="en-GB"/>
        </w:rPr>
        <w:t xml:space="preserve">electronic </w:t>
      </w:r>
      <w:r w:rsidR="000B7EF7">
        <w:rPr>
          <w:lang w:val="en-GB"/>
        </w:rPr>
        <w:t xml:space="preserve">file or </w:t>
      </w:r>
      <w:r w:rsidR="00E10552">
        <w:rPr>
          <w:lang w:val="en-GB"/>
        </w:rPr>
        <w:t xml:space="preserve">a </w:t>
      </w:r>
      <w:r w:rsidR="000B7EF7">
        <w:rPr>
          <w:lang w:val="en-GB"/>
        </w:rPr>
        <w:t>hard-copy</w:t>
      </w:r>
      <w:r w:rsidR="00FA5A40">
        <w:rPr>
          <w:lang w:val="en-GB"/>
        </w:rPr>
        <w:t>,</w:t>
      </w:r>
      <w:r w:rsidR="000B7EF7">
        <w:rPr>
          <w:lang w:val="en-GB"/>
        </w:rPr>
        <w:t xml:space="preserve"> </w:t>
      </w:r>
      <w:r w:rsidR="00E2303F">
        <w:rPr>
          <w:lang w:val="en-GB"/>
        </w:rPr>
        <w:t xml:space="preserve">and forward to </w:t>
      </w:r>
      <w:r w:rsidR="00CE399B">
        <w:rPr>
          <w:lang w:val="en-GB"/>
        </w:rPr>
        <w:t xml:space="preserve">the </w:t>
      </w:r>
      <w:r w:rsidR="007C7592">
        <w:rPr>
          <w:lang w:val="en-GB"/>
        </w:rPr>
        <w:t xml:space="preserve">approved </w:t>
      </w:r>
      <w:r w:rsidR="006E04B1" w:rsidRPr="0014598A">
        <w:rPr>
          <w:lang w:val="en-GB"/>
        </w:rPr>
        <w:t>recipients (e.g</w:t>
      </w:r>
      <w:r w:rsidR="00D42A60">
        <w:rPr>
          <w:lang w:val="en-GB"/>
        </w:rPr>
        <w:t>.</w:t>
      </w:r>
      <w:r w:rsidR="006E04B1" w:rsidRPr="0014598A">
        <w:rPr>
          <w:lang w:val="en-GB"/>
        </w:rPr>
        <w:t xml:space="preserve"> </w:t>
      </w:r>
      <w:r w:rsidR="00E10552">
        <w:rPr>
          <w:lang w:val="en-GB"/>
        </w:rPr>
        <w:t xml:space="preserve">the </w:t>
      </w:r>
      <w:r w:rsidR="006E04B1" w:rsidRPr="0014598A">
        <w:rPr>
          <w:lang w:val="en-GB"/>
        </w:rPr>
        <w:t>exporter state).</w:t>
      </w:r>
      <w:r w:rsidR="00FA5A40">
        <w:rPr>
          <w:lang w:val="en-GB"/>
        </w:rPr>
        <w:t xml:space="preserve"> </w:t>
      </w:r>
      <w:r w:rsidR="006E04B1" w:rsidRPr="0014598A">
        <w:rPr>
          <w:lang w:val="en-GB"/>
        </w:rPr>
        <w:t xml:space="preserve">Instructions for generating a PDF are </w:t>
      </w:r>
      <w:r w:rsidR="00F35409">
        <w:rPr>
          <w:lang w:val="en-GB"/>
        </w:rPr>
        <w:t xml:space="preserve">given </w:t>
      </w:r>
      <w:r w:rsidR="00D26774">
        <w:rPr>
          <w:lang w:val="en-GB"/>
        </w:rPr>
        <w:t xml:space="preserve">in </w:t>
      </w:r>
      <w:r w:rsidR="006E04B1" w:rsidRPr="0014598A">
        <w:rPr>
          <w:lang w:val="en-GB"/>
        </w:rPr>
        <w:t>the purple tab</w:t>
      </w:r>
      <w:r w:rsidR="00D26774">
        <w:rPr>
          <w:lang w:val="en-GB"/>
        </w:rPr>
        <w:t xml:space="preserve"> of the tool</w:t>
      </w:r>
      <w:r w:rsidR="006E04B1" w:rsidRPr="0014598A">
        <w:rPr>
          <w:lang w:val="en-GB"/>
        </w:rPr>
        <w:t>.</w:t>
      </w:r>
    </w:p>
    <w:p w14:paraId="3B2F89BB" w14:textId="77777777" w:rsidR="001F3B66" w:rsidRDefault="001F3B66" w:rsidP="001F3B66">
      <w:pPr>
        <w:rPr>
          <w:lang w:val="en-GB"/>
        </w:rPr>
      </w:pPr>
    </w:p>
    <w:p w14:paraId="5E07FFD6" w14:textId="45848184" w:rsidR="001F3B66" w:rsidRDefault="009C7E38" w:rsidP="001F3B66">
      <w:pPr>
        <w:jc w:val="center"/>
        <w:rPr>
          <w:lang w:val="en-GB"/>
        </w:rPr>
      </w:pPr>
      <w:r>
        <w:rPr>
          <w:noProof/>
          <w:lang w:val="en-GB"/>
        </w:rPr>
        <mc:AlternateContent>
          <mc:Choice Requires="wps">
            <w:drawing>
              <wp:anchor distT="0" distB="0" distL="114300" distR="114300" simplePos="0" relativeHeight="251671552" behindDoc="0" locked="0" layoutInCell="1" allowOverlap="1" wp14:anchorId="1861628F" wp14:editId="5E54E5E3">
                <wp:simplePos x="0" y="0"/>
                <wp:positionH relativeFrom="column">
                  <wp:posOffset>4508672</wp:posOffset>
                </wp:positionH>
                <wp:positionV relativeFrom="paragraph">
                  <wp:posOffset>1631315</wp:posOffset>
                </wp:positionV>
                <wp:extent cx="327025" cy="161925"/>
                <wp:effectExtent l="57150" t="57150" r="0" b="104775"/>
                <wp:wrapNone/>
                <wp:docPr id="23213836" name="Right Arrow 3"/>
                <wp:cNvGraphicFramePr/>
                <a:graphic xmlns:a="http://schemas.openxmlformats.org/drawingml/2006/main">
                  <a:graphicData uri="http://schemas.microsoft.com/office/word/2010/wordprocessingShape">
                    <wps:wsp>
                      <wps:cNvSpPr/>
                      <wps:spPr>
                        <a:xfrm rot="1800000">
                          <a:off x="0" y="0"/>
                          <a:ext cx="327025" cy="161925"/>
                        </a:xfrm>
                        <a:prstGeom prst="rightArrow">
                          <a:avLst/>
                        </a:prstGeom>
                        <a:solidFill>
                          <a:srgbClr val="EE0000"/>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4A97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355pt;margin-top:128.45pt;width:25.75pt;height:12.75pt;rotation:3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" adj="16252" fillcolor="#e00" stroked="f">
                <v:shadow on="t" color="black" opacity="22937f" origin=",.5" offset="0,.63889mm"/>
              </v:shape>
            </w:pict>
          </mc:Fallback>
        </mc:AlternateContent>
      </w:r>
      <w:r w:rsidR="005A6E94">
        <w:rPr>
          <w:noProof/>
        </w:rPr>
        <mc:AlternateContent>
          <mc:Choice Requires="wps">
            <w:drawing>
              <wp:anchor distT="0" distB="0" distL="114300" distR="114300" simplePos="0" relativeHeight="251669504" behindDoc="0" locked="0" layoutInCell="1" allowOverlap="1" wp14:anchorId="2E484403" wp14:editId="0E997F5A">
                <wp:simplePos x="0" y="0"/>
                <wp:positionH relativeFrom="column">
                  <wp:posOffset>4828626</wp:posOffset>
                </wp:positionH>
                <wp:positionV relativeFrom="paragraph">
                  <wp:posOffset>1743075</wp:posOffset>
                </wp:positionV>
                <wp:extent cx="665480" cy="664845"/>
                <wp:effectExtent l="57150" t="19050" r="77470" b="97155"/>
                <wp:wrapNone/>
                <wp:docPr id="174213209" name="Oval 4"/>
                <wp:cNvGraphicFramePr/>
                <a:graphic xmlns:a="http://schemas.openxmlformats.org/drawingml/2006/main">
                  <a:graphicData uri="http://schemas.microsoft.com/office/word/2010/wordprocessingShape">
                    <wps:wsp>
                      <wps:cNvSpPr/>
                      <wps:spPr>
                        <a:xfrm>
                          <a:off x="0" y="0"/>
                          <a:ext cx="665480" cy="664845"/>
                        </a:xfrm>
                        <a:prstGeom prst="ellipse">
                          <a:avLst/>
                        </a:prstGeom>
                        <a:noFill/>
                        <a:ln w="12700" cap="flat" cmpd="sng" algn="ctr">
                          <a:solidFill>
                            <a:srgbClr val="EE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8A929C" id="Oval 4" o:spid="_x0000_s1026" style="position:absolute;margin-left:380.2pt;margin-top:137.25pt;width:52.4pt;height:52.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" filled="f" strokecolor="#e00" strokeweight="1pt">
                <v:shadow on="t" color="black" opacity="22937f" origin=",.5" offset="0,.63889mm"/>
              </v:oval>
            </w:pict>
          </mc:Fallback>
        </mc:AlternateContent>
      </w:r>
      <w:r w:rsidR="00A04702">
        <w:rPr>
          <w:noProof/>
        </w:rPr>
        <mc:AlternateContent>
          <mc:Choice Requires="wps">
            <w:drawing>
              <wp:anchor distT="0" distB="0" distL="114300" distR="114300" simplePos="0" relativeHeight="251667456" behindDoc="0" locked="0" layoutInCell="1" allowOverlap="1" wp14:anchorId="36CC4BC8" wp14:editId="6F36F46C">
                <wp:simplePos x="0" y="0"/>
                <wp:positionH relativeFrom="column">
                  <wp:posOffset>1876511</wp:posOffset>
                </wp:positionH>
                <wp:positionV relativeFrom="paragraph">
                  <wp:posOffset>459740</wp:posOffset>
                </wp:positionV>
                <wp:extent cx="326390" cy="161290"/>
                <wp:effectExtent l="57150" t="57150" r="0" b="105410"/>
                <wp:wrapNone/>
                <wp:docPr id="1578738434" name="Right Arrow 3"/>
                <wp:cNvGraphicFramePr/>
                <a:graphic xmlns:a="http://schemas.openxmlformats.org/drawingml/2006/main">
                  <a:graphicData uri="http://schemas.microsoft.com/office/word/2010/wordprocessingShape">
                    <wps:wsp>
                      <wps:cNvSpPr/>
                      <wps:spPr>
                        <a:xfrm rot="1800000">
                          <a:off x="0" y="0"/>
                          <a:ext cx="326390" cy="161290"/>
                        </a:xfrm>
                        <a:prstGeom prst="rightArrow">
                          <a:avLst/>
                        </a:prstGeom>
                        <a:solidFill>
                          <a:srgbClr val="EE0000"/>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D3020E" id="Right Arrow 3" o:spid="_x0000_s1026" type="#_x0000_t13" style="position:absolute;margin-left:147.75pt;margin-top:36.2pt;width:25.7pt;height:12.7pt;rotation:3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" adj="16263" fillcolor="#e00" stroked="f">
                <v:shadow on="t" color="black" opacity="22937f" origin=",.5" offset="0,.63889mm"/>
              </v:shape>
            </w:pict>
          </mc:Fallback>
        </mc:AlternateContent>
      </w:r>
      <w:r w:rsidR="00A70128">
        <w:rPr>
          <w:noProof/>
        </w:rPr>
        <mc:AlternateContent>
          <mc:Choice Requires="wps">
            <w:drawing>
              <wp:anchor distT="0" distB="0" distL="114300" distR="114300" simplePos="0" relativeHeight="251665408" behindDoc="0" locked="0" layoutInCell="1" allowOverlap="1" wp14:anchorId="1529DB93" wp14:editId="0769707C">
                <wp:simplePos x="0" y="0"/>
                <wp:positionH relativeFrom="column">
                  <wp:posOffset>2263861</wp:posOffset>
                </wp:positionH>
                <wp:positionV relativeFrom="paragraph">
                  <wp:posOffset>524510</wp:posOffset>
                </wp:positionV>
                <wp:extent cx="665787" cy="409363"/>
                <wp:effectExtent l="57150" t="19050" r="58420" b="86360"/>
                <wp:wrapNone/>
                <wp:docPr id="65518349" name="Oval 4"/>
                <wp:cNvGraphicFramePr/>
                <a:graphic xmlns:a="http://schemas.openxmlformats.org/drawingml/2006/main">
                  <a:graphicData uri="http://schemas.microsoft.com/office/word/2010/wordprocessingShape">
                    <wps:wsp>
                      <wps:cNvSpPr/>
                      <wps:spPr>
                        <a:xfrm>
                          <a:off x="0" y="0"/>
                          <a:ext cx="665787" cy="409363"/>
                        </a:xfrm>
                        <a:prstGeom prst="ellipse">
                          <a:avLst/>
                        </a:prstGeom>
                        <a:noFill/>
                        <a:ln w="12700" cap="flat" cmpd="sng" algn="ctr">
                          <a:solidFill>
                            <a:srgbClr val="EE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B05034" id="Oval 4" o:spid="_x0000_s1026" style="position:absolute;margin-left:178.25pt;margin-top:41.3pt;width:52.4pt;height:3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" filled="f" strokecolor="#e00" strokeweight="1pt">
                <v:shadow on="t" color="black" opacity="22937f" origin=",.5" offset="0,.63889mm"/>
              </v:oval>
            </w:pict>
          </mc:Fallback>
        </mc:AlternateContent>
      </w:r>
      <w:r w:rsidR="001F3B66">
        <w:rPr>
          <w:noProof/>
          <w:lang w:val="en-GB"/>
        </w:rPr>
        <w:drawing>
          <wp:inline distT="0" distB="0" distL="0" distR="0" wp14:anchorId="6389F098" wp14:editId="3DDFDFAB">
            <wp:extent cx="5020284" cy="2768710"/>
            <wp:effectExtent l="38100" t="38100" r="85725" b="88900"/>
            <wp:docPr id="1110897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3499" name="Picture 55263499"/>
                    <pic:cNvPicPr/>
                  </pic:nvPicPr>
                  <pic:blipFill>
                    <a:blip r:embed="rId9"/>
                    <a:stretch>
                      <a:fillRect/>
                    </a:stretch>
                  </pic:blipFill>
                  <pic:spPr>
                    <a:xfrm>
                      <a:off x="0" y="0"/>
                      <a:ext cx="5056469" cy="2788666"/>
                    </a:xfrm>
                    <a:prstGeom prst="rect">
                      <a:avLst/>
                    </a:prstGeom>
                    <a:ln>
                      <a:solidFill>
                        <a:sysClr val="windowText" lastClr="000000">
                          <a:lumMod val="50000"/>
                          <a:lumOff val="50000"/>
                        </a:sysClr>
                      </a:solidFill>
                    </a:ln>
                    <a:effectLst>
                      <a:outerShdw blurRad="50800" dist="38100" dir="2700000" algn="tl" rotWithShape="0">
                        <a:prstClr val="black">
                          <a:alpha val="40000"/>
                        </a:prstClr>
                      </a:outerShdw>
                    </a:effectLst>
                  </pic:spPr>
                </pic:pic>
              </a:graphicData>
            </a:graphic>
          </wp:inline>
        </w:drawing>
      </w:r>
    </w:p>
    <w:p w14:paraId="4185E6F6" w14:textId="5874ECEB" w:rsidR="00AE403F" w:rsidRDefault="00AE403F" w:rsidP="00AE403F">
      <w:pPr>
        <w:pStyle w:val="Caption"/>
        <w:keepNext/>
        <w:jc w:val="center"/>
      </w:pPr>
      <w:r>
        <w:t xml:space="preserve">Figure 2 – </w:t>
      </w:r>
      <w:r w:rsidR="00112028">
        <w:t>Location</w:t>
      </w:r>
      <w:r w:rsidR="00031299">
        <w:t>s</w:t>
      </w:r>
      <w:r w:rsidR="00112028">
        <w:t xml:space="preserve"> of the </w:t>
      </w:r>
      <w:r w:rsidR="00031299">
        <w:t xml:space="preserve">Calculate and Assessed Level </w:t>
      </w:r>
      <w:r w:rsidR="00112028">
        <w:t>boxes</w:t>
      </w:r>
    </w:p>
    <w:p w14:paraId="704DB2D7" w14:textId="7BA478EB" w:rsidR="00BE0B65" w:rsidRPr="0014598A" w:rsidRDefault="00543B17" w:rsidP="00F22C52">
      <w:pPr>
        <w:pStyle w:val="Heading1"/>
        <w:spacing w:before="200"/>
      </w:pPr>
      <w:r w:rsidRPr="0014598A">
        <w:t>Interpretation of Results</w:t>
      </w:r>
    </w:p>
    <w:p w14:paraId="18DE0746" w14:textId="3A416AEB" w:rsidR="000F5485" w:rsidRPr="00567F84" w:rsidRDefault="00F22C52" w:rsidP="000F5485">
      <w:pPr>
        <w:pStyle w:val="Heading2"/>
        <w:rPr>
          <w:color w:val="95B3D7" w:themeColor="accent1" w:themeTint="99"/>
          <w:lang w:val="en-GB"/>
        </w:rPr>
      </w:pPr>
      <w:r w:rsidRPr="00567F84">
        <w:rPr>
          <w:color w:val="95B3D7" w:themeColor="accent1" w:themeTint="99"/>
          <w:lang w:val="en-GB"/>
        </w:rPr>
        <w:t>6</w:t>
      </w:r>
      <w:r w:rsidR="00543B17" w:rsidRPr="00567F84">
        <w:rPr>
          <w:color w:val="95B3D7" w:themeColor="accent1" w:themeTint="99"/>
          <w:lang w:val="en-GB"/>
        </w:rPr>
        <w:t xml:space="preserve">.1 </w:t>
      </w:r>
      <w:r w:rsidR="000F5485" w:rsidRPr="00567F84">
        <w:rPr>
          <w:color w:val="95B3D7" w:themeColor="accent1" w:themeTint="99"/>
          <w:lang w:val="en-GB"/>
        </w:rPr>
        <w:t xml:space="preserve">Analyzing and </w:t>
      </w:r>
      <w:r w:rsidR="00E559E7" w:rsidRPr="00567F84">
        <w:rPr>
          <w:color w:val="95B3D7" w:themeColor="accent1" w:themeTint="99"/>
          <w:lang w:val="en-GB"/>
        </w:rPr>
        <w:t>visualizing results</w:t>
      </w:r>
    </w:p>
    <w:p w14:paraId="13FF770C" w14:textId="0DF4994A" w:rsidR="003A080A" w:rsidRDefault="003A080A" w:rsidP="00911523">
      <w:pPr>
        <w:rPr>
          <w:lang w:val="en-GB"/>
        </w:rPr>
      </w:pPr>
      <w:r w:rsidRPr="0014598A">
        <w:rPr>
          <w:lang w:val="en-GB"/>
        </w:rPr>
        <w:lastRenderedPageBreak/>
        <w:t xml:space="preserve">The </w:t>
      </w:r>
      <w:r w:rsidR="00502539">
        <w:rPr>
          <w:lang w:val="en-GB"/>
        </w:rPr>
        <w:t>R</w:t>
      </w:r>
      <w:r w:rsidRPr="0014598A">
        <w:rPr>
          <w:lang w:val="en-GB"/>
        </w:rPr>
        <w:t xml:space="preserve">esults tab shows </w:t>
      </w:r>
      <w:r w:rsidR="00D838A4">
        <w:rPr>
          <w:lang w:val="en-GB"/>
        </w:rPr>
        <w:t xml:space="preserve">mean </w:t>
      </w:r>
      <w:r w:rsidRPr="0014598A">
        <w:rPr>
          <w:lang w:val="en-GB"/>
        </w:rPr>
        <w:t xml:space="preserve">scores (1–5) for each functional </w:t>
      </w:r>
      <w:r w:rsidR="00536833" w:rsidRPr="0063608D">
        <w:rPr>
          <w:lang w:val="en-GB"/>
        </w:rPr>
        <w:t>section</w:t>
      </w:r>
      <w:r w:rsidR="002A3D1C" w:rsidRPr="0063608D">
        <w:rPr>
          <w:lang w:val="en-GB"/>
        </w:rPr>
        <w:t>.</w:t>
      </w:r>
      <w:r w:rsidR="002A3D1C">
        <w:rPr>
          <w:lang w:val="en-GB"/>
        </w:rPr>
        <w:t xml:space="preserve"> </w:t>
      </w:r>
      <w:r w:rsidR="00B555D6">
        <w:rPr>
          <w:lang w:val="en-GB"/>
        </w:rPr>
        <w:t xml:space="preserve">They are displayed in </w:t>
      </w:r>
      <w:r w:rsidR="00877816">
        <w:rPr>
          <w:lang w:val="en-GB"/>
        </w:rPr>
        <w:t xml:space="preserve">both </w:t>
      </w:r>
      <w:r w:rsidR="00B555D6">
        <w:rPr>
          <w:lang w:val="en-GB"/>
        </w:rPr>
        <w:t xml:space="preserve">graphical and tabular form. </w:t>
      </w:r>
      <w:r w:rsidR="00A26A32">
        <w:rPr>
          <w:lang w:val="en-GB"/>
        </w:rPr>
        <w:t>T</w:t>
      </w:r>
      <w:r w:rsidRPr="0014598A">
        <w:rPr>
          <w:lang w:val="en-GB"/>
        </w:rPr>
        <w:t xml:space="preserve">hese averages should always be read </w:t>
      </w:r>
      <w:r w:rsidR="00911523">
        <w:rPr>
          <w:lang w:val="en-GB"/>
        </w:rPr>
        <w:t xml:space="preserve">in conjunction </w:t>
      </w:r>
      <w:r w:rsidRPr="0014598A">
        <w:rPr>
          <w:lang w:val="en-GB"/>
        </w:rPr>
        <w:t xml:space="preserve">with the </w:t>
      </w:r>
      <w:r w:rsidR="00317B55">
        <w:rPr>
          <w:lang w:val="en-GB"/>
        </w:rPr>
        <w:t xml:space="preserve">score for </w:t>
      </w:r>
      <w:r w:rsidR="001501B2">
        <w:rPr>
          <w:lang w:val="en-GB"/>
        </w:rPr>
        <w:t xml:space="preserve">each </w:t>
      </w:r>
      <w:r w:rsidR="00317B55">
        <w:rPr>
          <w:lang w:val="en-GB"/>
        </w:rPr>
        <w:t xml:space="preserve">individual </w:t>
      </w:r>
      <w:r w:rsidR="001501B2">
        <w:rPr>
          <w:lang w:val="en-GB"/>
        </w:rPr>
        <w:t>question</w:t>
      </w:r>
      <w:r w:rsidR="00F4367D">
        <w:rPr>
          <w:lang w:val="en-GB"/>
        </w:rPr>
        <w:t xml:space="preserve"> - a</w:t>
      </w:r>
      <w:r w:rsidR="0020010A">
        <w:rPr>
          <w:lang w:val="en-GB"/>
        </w:rPr>
        <w:t xml:space="preserve"> </w:t>
      </w:r>
      <w:r w:rsidRPr="0014598A">
        <w:rPr>
          <w:lang w:val="en-GB"/>
        </w:rPr>
        <w:t>m</w:t>
      </w:r>
      <w:r w:rsidR="00C87595">
        <w:rPr>
          <w:lang w:val="en-GB"/>
        </w:rPr>
        <w:t xml:space="preserve">iddle </w:t>
      </w:r>
      <w:r w:rsidRPr="0014598A">
        <w:rPr>
          <w:lang w:val="en-GB"/>
        </w:rPr>
        <w:t>or high average</w:t>
      </w:r>
      <w:r w:rsidR="005015DD">
        <w:rPr>
          <w:lang w:val="en-GB"/>
        </w:rPr>
        <w:t>, for instance,</w:t>
      </w:r>
      <w:r w:rsidRPr="0014598A">
        <w:rPr>
          <w:lang w:val="en-GB"/>
        </w:rPr>
        <w:t xml:space="preserve"> can </w:t>
      </w:r>
      <w:r w:rsidR="006669B1">
        <w:rPr>
          <w:lang w:val="en-GB"/>
        </w:rPr>
        <w:t xml:space="preserve">conceal </w:t>
      </w:r>
      <w:r w:rsidR="005015DD">
        <w:rPr>
          <w:lang w:val="en-GB"/>
        </w:rPr>
        <w:t xml:space="preserve">a </w:t>
      </w:r>
      <w:r w:rsidRPr="0014598A">
        <w:rPr>
          <w:lang w:val="en-GB"/>
        </w:rPr>
        <w:t xml:space="preserve">low score on </w:t>
      </w:r>
      <w:r w:rsidR="005015DD">
        <w:rPr>
          <w:lang w:val="en-GB"/>
        </w:rPr>
        <w:t xml:space="preserve">a </w:t>
      </w:r>
      <w:r w:rsidRPr="0014598A">
        <w:rPr>
          <w:lang w:val="en-GB"/>
        </w:rPr>
        <w:t>specific question</w:t>
      </w:r>
      <w:r w:rsidR="00D3536B">
        <w:rPr>
          <w:lang w:val="en-GB"/>
        </w:rPr>
        <w:t>(s)</w:t>
      </w:r>
      <w:r w:rsidRPr="0014598A">
        <w:rPr>
          <w:lang w:val="en-GB"/>
        </w:rPr>
        <w:t xml:space="preserve"> and </w:t>
      </w:r>
      <w:r w:rsidR="00BA1B5C">
        <w:rPr>
          <w:lang w:val="en-GB"/>
        </w:rPr>
        <w:t xml:space="preserve">thereby </w:t>
      </w:r>
      <w:r w:rsidR="00C87595">
        <w:rPr>
          <w:lang w:val="en-GB"/>
        </w:rPr>
        <w:t xml:space="preserve">can </w:t>
      </w:r>
      <w:r w:rsidR="00BA1B5C">
        <w:rPr>
          <w:lang w:val="en-GB"/>
        </w:rPr>
        <w:t xml:space="preserve">potentially </w:t>
      </w:r>
      <w:r w:rsidRPr="0014598A">
        <w:rPr>
          <w:lang w:val="en-GB"/>
        </w:rPr>
        <w:t xml:space="preserve">mask </w:t>
      </w:r>
      <w:r w:rsidR="001E52C8">
        <w:rPr>
          <w:lang w:val="en-GB"/>
        </w:rPr>
        <w:t xml:space="preserve">a </w:t>
      </w:r>
      <w:r w:rsidRPr="0014598A">
        <w:rPr>
          <w:lang w:val="en-GB"/>
        </w:rPr>
        <w:t>critical vulnerabilit</w:t>
      </w:r>
      <w:r w:rsidR="00BA1B5C">
        <w:rPr>
          <w:lang w:val="en-GB"/>
        </w:rPr>
        <w:t>y.</w:t>
      </w:r>
    </w:p>
    <w:p w14:paraId="0DC98726" w14:textId="00540C39" w:rsidR="005D62F1" w:rsidRDefault="005D62F1" w:rsidP="00B333C7">
      <w:pPr>
        <w:jc w:val="center"/>
        <w:rPr>
          <w:lang w:val="en-GB"/>
        </w:rPr>
      </w:pPr>
      <w:r>
        <w:rPr>
          <w:noProof/>
          <w:lang w:val="en-GB"/>
        </w:rPr>
        <w:drawing>
          <wp:inline distT="0" distB="0" distL="0" distR="0" wp14:anchorId="33659C22" wp14:editId="588579D7">
            <wp:extent cx="4975260" cy="2649441"/>
            <wp:effectExtent l="38100" t="38100" r="92075" b="93980"/>
            <wp:docPr id="106217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73599" name="Picture 1062173599"/>
                    <pic:cNvPicPr/>
                  </pic:nvPicPr>
                  <pic:blipFill>
                    <a:blip r:embed="rId10"/>
                    <a:stretch>
                      <a:fillRect/>
                    </a:stretch>
                  </pic:blipFill>
                  <pic:spPr>
                    <a:xfrm>
                      <a:off x="0" y="0"/>
                      <a:ext cx="5020854" cy="2673721"/>
                    </a:xfrm>
                    <a:prstGeom prst="rect">
                      <a:avLst/>
                    </a:prstGeom>
                    <a:ln>
                      <a:solidFill>
                        <a:schemeClr val="tx1">
                          <a:lumMod val="50000"/>
                          <a:lumOff val="50000"/>
                        </a:schemeClr>
                      </a:solidFill>
                    </a:ln>
                    <a:effectLst>
                      <a:outerShdw blurRad="50800" dist="38100" dir="2700000" algn="tl" rotWithShape="0">
                        <a:prstClr val="black">
                          <a:alpha val="40000"/>
                        </a:prstClr>
                      </a:outerShdw>
                    </a:effectLst>
                  </pic:spPr>
                </pic:pic>
              </a:graphicData>
            </a:graphic>
          </wp:inline>
        </w:drawing>
      </w:r>
    </w:p>
    <w:p w14:paraId="49A2AC23" w14:textId="028E074F" w:rsidR="0054101E" w:rsidRDefault="0054101E" w:rsidP="0054101E">
      <w:pPr>
        <w:pStyle w:val="Caption"/>
        <w:keepNext/>
        <w:jc w:val="center"/>
      </w:pPr>
      <w:r>
        <w:t>Figure 3 – the Results tab in the AAMVS tool</w:t>
      </w:r>
    </w:p>
    <w:p w14:paraId="3C297DD0" w14:textId="3EC715D8" w:rsidR="003A080A" w:rsidRPr="0014598A" w:rsidRDefault="003A080A" w:rsidP="003A080A">
      <w:pPr>
        <w:rPr>
          <w:b/>
          <w:bCs/>
          <w:lang w:val="en-GB"/>
        </w:rPr>
      </w:pPr>
      <w:r w:rsidRPr="0014598A">
        <w:rPr>
          <w:lang w:val="en-GB"/>
        </w:rPr>
        <w:t xml:space="preserve">The bar chart is most useful for </w:t>
      </w:r>
      <w:r w:rsidR="00283414">
        <w:rPr>
          <w:lang w:val="en-GB"/>
        </w:rPr>
        <w:t>quickly spotting outliers – both high and low</w:t>
      </w:r>
      <w:r w:rsidR="008D6C4D">
        <w:rPr>
          <w:lang w:val="en-GB"/>
        </w:rPr>
        <w:t xml:space="preserve"> – </w:t>
      </w:r>
      <w:r w:rsidR="00082A53">
        <w:rPr>
          <w:lang w:val="en-GB"/>
        </w:rPr>
        <w:t>and</w:t>
      </w:r>
      <w:r w:rsidR="00BD21CE">
        <w:rPr>
          <w:lang w:val="en-GB"/>
        </w:rPr>
        <w:t xml:space="preserve"> </w:t>
      </w:r>
      <w:r w:rsidR="001C62FA">
        <w:rPr>
          <w:lang w:val="en-GB"/>
        </w:rPr>
        <w:t xml:space="preserve">calibrating </w:t>
      </w:r>
      <w:r w:rsidR="00C8744C">
        <w:rPr>
          <w:lang w:val="en-GB"/>
        </w:rPr>
        <w:t>the results against the m</w:t>
      </w:r>
      <w:r w:rsidR="001B4E61">
        <w:rPr>
          <w:lang w:val="en-GB"/>
        </w:rPr>
        <w:t xml:space="preserve">aximum </w:t>
      </w:r>
      <w:r w:rsidR="00AD5F06">
        <w:rPr>
          <w:lang w:val="en-GB"/>
        </w:rPr>
        <w:t xml:space="preserve">achievable. </w:t>
      </w:r>
      <w:r w:rsidR="0042570B">
        <w:rPr>
          <w:lang w:val="en-GB"/>
        </w:rPr>
        <w:t>M</w:t>
      </w:r>
      <w:r w:rsidRPr="0014598A">
        <w:rPr>
          <w:lang w:val="en-GB"/>
        </w:rPr>
        <w:t>ore detailed analysis should</w:t>
      </w:r>
      <w:r w:rsidR="00FF2EEB">
        <w:rPr>
          <w:lang w:val="en-GB"/>
        </w:rPr>
        <w:t xml:space="preserve"> </w:t>
      </w:r>
      <w:r w:rsidRPr="0014598A">
        <w:rPr>
          <w:lang w:val="en-GB"/>
        </w:rPr>
        <w:t xml:space="preserve">focus on how </w:t>
      </w:r>
      <w:r w:rsidR="004B7170">
        <w:rPr>
          <w:lang w:val="en-GB"/>
        </w:rPr>
        <w:t xml:space="preserve">the </w:t>
      </w:r>
      <w:r w:rsidRPr="0014598A">
        <w:rPr>
          <w:lang w:val="en-GB"/>
        </w:rPr>
        <w:t xml:space="preserve">scores are distributed within each </w:t>
      </w:r>
      <w:r w:rsidR="00702B4F">
        <w:rPr>
          <w:lang w:val="en-GB"/>
        </w:rPr>
        <w:t xml:space="preserve">functional </w:t>
      </w:r>
      <w:r w:rsidR="004B7170" w:rsidRPr="0063608D">
        <w:rPr>
          <w:lang w:val="en-GB"/>
        </w:rPr>
        <w:t>section</w:t>
      </w:r>
      <w:r w:rsidRPr="0063608D">
        <w:rPr>
          <w:lang w:val="en-GB"/>
        </w:rPr>
        <w:t>,</w:t>
      </w:r>
      <w:r w:rsidRPr="0014598A">
        <w:rPr>
          <w:lang w:val="en-GB"/>
        </w:rPr>
        <w:t xml:space="preserve"> including any sharp peaks or troughs</w:t>
      </w:r>
      <w:r w:rsidR="009902E4">
        <w:rPr>
          <w:lang w:val="en-GB"/>
        </w:rPr>
        <w:t xml:space="preserve">, </w:t>
      </w:r>
      <w:r w:rsidRPr="0014598A">
        <w:rPr>
          <w:lang w:val="en-GB"/>
        </w:rPr>
        <w:t>suggest</w:t>
      </w:r>
      <w:r w:rsidR="00AC4BF0">
        <w:rPr>
          <w:lang w:val="en-GB"/>
        </w:rPr>
        <w:t>ing</w:t>
      </w:r>
      <w:r w:rsidRPr="0014598A">
        <w:rPr>
          <w:lang w:val="en-GB"/>
        </w:rPr>
        <w:t xml:space="preserve"> uneven implementation.</w:t>
      </w:r>
    </w:p>
    <w:p w14:paraId="3B18DCA2" w14:textId="3072DAE3" w:rsidR="00BE0B65" w:rsidRPr="00567F84" w:rsidRDefault="00F22C52" w:rsidP="003A080A">
      <w:pPr>
        <w:pStyle w:val="Heading2"/>
        <w:rPr>
          <w:color w:val="95B3D7" w:themeColor="accent1" w:themeTint="99"/>
          <w:lang w:val="en-GB"/>
        </w:rPr>
      </w:pPr>
      <w:r w:rsidRPr="00567F84">
        <w:rPr>
          <w:color w:val="95B3D7" w:themeColor="accent1" w:themeTint="99"/>
          <w:lang w:val="en-GB"/>
        </w:rPr>
        <w:t>6</w:t>
      </w:r>
      <w:r w:rsidR="00543B17" w:rsidRPr="00567F84">
        <w:rPr>
          <w:color w:val="95B3D7" w:themeColor="accent1" w:themeTint="99"/>
          <w:lang w:val="en-GB"/>
        </w:rPr>
        <w:t>.</w:t>
      </w:r>
      <w:r w:rsidR="003A080A" w:rsidRPr="00567F84">
        <w:rPr>
          <w:color w:val="95B3D7" w:themeColor="accent1" w:themeTint="99"/>
          <w:lang w:val="en-GB"/>
        </w:rPr>
        <w:t>2</w:t>
      </w:r>
      <w:r w:rsidR="00543B17" w:rsidRPr="00567F84">
        <w:rPr>
          <w:color w:val="95B3D7" w:themeColor="accent1" w:themeTint="99"/>
          <w:lang w:val="en-GB"/>
        </w:rPr>
        <w:t xml:space="preserve"> </w:t>
      </w:r>
      <w:r w:rsidR="00040B01">
        <w:rPr>
          <w:color w:val="95B3D7" w:themeColor="accent1" w:themeTint="99"/>
          <w:lang w:val="en-GB"/>
        </w:rPr>
        <w:t xml:space="preserve">Use of the results </w:t>
      </w:r>
      <w:r w:rsidR="006B4A92">
        <w:rPr>
          <w:color w:val="95B3D7" w:themeColor="accent1" w:themeTint="99"/>
          <w:lang w:val="en-GB"/>
        </w:rPr>
        <w:t>by i</w:t>
      </w:r>
      <w:r w:rsidR="0021598B">
        <w:rPr>
          <w:color w:val="95B3D7" w:themeColor="accent1" w:themeTint="99"/>
          <w:lang w:val="en-GB"/>
        </w:rPr>
        <w:t>mporting states</w:t>
      </w:r>
      <w:r w:rsidR="00E559E7" w:rsidRPr="00567F84">
        <w:rPr>
          <w:color w:val="95B3D7" w:themeColor="accent1" w:themeTint="99"/>
          <w:lang w:val="en-GB"/>
        </w:rPr>
        <w:t xml:space="preserve"> </w:t>
      </w:r>
    </w:p>
    <w:p w14:paraId="6E9FDA10" w14:textId="7B2620C8" w:rsidR="003C7C57" w:rsidRDefault="003A080A" w:rsidP="003A080A">
      <w:pPr>
        <w:rPr>
          <w:lang w:val="en-GB"/>
        </w:rPr>
      </w:pPr>
      <w:r w:rsidRPr="0014598A">
        <w:rPr>
          <w:lang w:val="en-GB"/>
        </w:rPr>
        <w:t>In the context of planning and capacity development</w:t>
      </w:r>
      <w:r w:rsidR="00FB613D">
        <w:rPr>
          <w:lang w:val="en-GB"/>
        </w:rPr>
        <w:t xml:space="preserve">, </w:t>
      </w:r>
      <w:r w:rsidR="00732C65">
        <w:rPr>
          <w:lang w:val="en-GB"/>
        </w:rPr>
        <w:t xml:space="preserve">the </w:t>
      </w:r>
      <w:r w:rsidRPr="0014598A">
        <w:rPr>
          <w:lang w:val="en-GB"/>
        </w:rPr>
        <w:t>results</w:t>
      </w:r>
      <w:r w:rsidR="000409B6">
        <w:rPr>
          <w:lang w:val="en-GB"/>
        </w:rPr>
        <w:t xml:space="preserve"> </w:t>
      </w:r>
      <w:r w:rsidR="00D23CB6">
        <w:rPr>
          <w:lang w:val="en-GB"/>
        </w:rPr>
        <w:t>can</w:t>
      </w:r>
      <w:r w:rsidR="000409B6">
        <w:rPr>
          <w:lang w:val="en-GB"/>
        </w:rPr>
        <w:t xml:space="preserve"> be used</w:t>
      </w:r>
      <w:r w:rsidRPr="0014598A">
        <w:rPr>
          <w:lang w:val="en-GB"/>
        </w:rPr>
        <w:t xml:space="preserve"> </w:t>
      </w:r>
      <w:r w:rsidR="000F5485" w:rsidRPr="0014598A">
        <w:rPr>
          <w:lang w:val="en-GB"/>
        </w:rPr>
        <w:t>to prioritise practical, sequenced improvements. Low</w:t>
      </w:r>
      <w:r w:rsidR="000F5485" w:rsidRPr="0014598A">
        <w:rPr>
          <w:rFonts w:ascii="Cambria Math" w:hAnsi="Cambria Math" w:cs="Cambria Math"/>
          <w:lang w:val="en-GB"/>
        </w:rPr>
        <w:t>‑</w:t>
      </w:r>
      <w:r w:rsidR="000F5485" w:rsidRPr="0014598A">
        <w:rPr>
          <w:lang w:val="en-GB"/>
        </w:rPr>
        <w:t xml:space="preserve">scoring </w:t>
      </w:r>
      <w:r w:rsidR="008623FE">
        <w:rPr>
          <w:lang w:val="en-GB"/>
        </w:rPr>
        <w:t>sections</w:t>
      </w:r>
      <w:r w:rsidR="004F37AF">
        <w:rPr>
          <w:lang w:val="en-GB"/>
        </w:rPr>
        <w:t>/q</w:t>
      </w:r>
      <w:r w:rsidR="000F5485" w:rsidRPr="0014598A">
        <w:rPr>
          <w:lang w:val="en-GB"/>
        </w:rPr>
        <w:t xml:space="preserve">uestions point to where targeted interventions </w:t>
      </w:r>
      <w:r w:rsidR="006472FB">
        <w:rPr>
          <w:lang w:val="en-GB"/>
        </w:rPr>
        <w:t>might be n</w:t>
      </w:r>
      <w:r w:rsidR="000F5485" w:rsidRPr="0014598A">
        <w:rPr>
          <w:lang w:val="en-GB"/>
        </w:rPr>
        <w:t xml:space="preserve">eeded, such as revising legislation, updating </w:t>
      </w:r>
      <w:r w:rsidR="00722E54">
        <w:rPr>
          <w:lang w:val="en-GB"/>
        </w:rPr>
        <w:t>SOPs</w:t>
      </w:r>
      <w:r w:rsidR="000F5485" w:rsidRPr="0014598A">
        <w:rPr>
          <w:lang w:val="en-GB"/>
        </w:rPr>
        <w:t xml:space="preserve">, upgrading infrastructure, or investing in training and oversight. </w:t>
      </w:r>
    </w:p>
    <w:p w14:paraId="0CF5E566" w14:textId="00C49C1F" w:rsidR="003A080A" w:rsidRPr="0014598A" w:rsidRDefault="000F5485" w:rsidP="003A080A">
      <w:pPr>
        <w:rPr>
          <w:lang w:val="en-GB"/>
        </w:rPr>
      </w:pPr>
      <w:r w:rsidRPr="0014598A">
        <w:rPr>
          <w:lang w:val="en-GB"/>
        </w:rPr>
        <w:t xml:space="preserve">By comparing scores over multiple assessment cycles, authorities can track progress, demonstrate the impact of reforms and external assistance, and adjust plans as new gaps or risks emerge. In this way, the scoring and visualisation framework becomes a tool for structured dialogue, planning and resource allocation in support of </w:t>
      </w:r>
      <w:r w:rsidR="00BB3EC5">
        <w:rPr>
          <w:lang w:val="en-GB"/>
        </w:rPr>
        <w:t>safe and secure</w:t>
      </w:r>
      <w:r w:rsidRPr="0014598A">
        <w:rPr>
          <w:lang w:val="en-GB"/>
        </w:rPr>
        <w:t xml:space="preserve"> arms and ammunition management.</w:t>
      </w:r>
    </w:p>
    <w:p w14:paraId="4110BB88" w14:textId="7B40B8AB" w:rsidR="003A080A" w:rsidRPr="00567F84" w:rsidRDefault="00F22C52" w:rsidP="003A080A">
      <w:pPr>
        <w:pStyle w:val="Heading2"/>
        <w:rPr>
          <w:color w:val="95B3D7" w:themeColor="accent1" w:themeTint="99"/>
          <w:lang w:val="en-GB"/>
        </w:rPr>
      </w:pPr>
      <w:r w:rsidRPr="00567F84">
        <w:rPr>
          <w:color w:val="95B3D7" w:themeColor="accent1" w:themeTint="99"/>
          <w:lang w:val="en-GB"/>
        </w:rPr>
        <w:t>6</w:t>
      </w:r>
      <w:r w:rsidR="003A080A" w:rsidRPr="00567F84">
        <w:rPr>
          <w:color w:val="95B3D7" w:themeColor="accent1" w:themeTint="99"/>
          <w:lang w:val="en-GB"/>
        </w:rPr>
        <w:t xml:space="preserve">.3 Use of </w:t>
      </w:r>
      <w:r w:rsidR="006B4A92">
        <w:rPr>
          <w:color w:val="95B3D7" w:themeColor="accent1" w:themeTint="99"/>
          <w:lang w:val="en-GB"/>
        </w:rPr>
        <w:t xml:space="preserve">the </w:t>
      </w:r>
      <w:r w:rsidR="003A080A" w:rsidRPr="00567F84">
        <w:rPr>
          <w:color w:val="95B3D7" w:themeColor="accent1" w:themeTint="99"/>
          <w:lang w:val="en-GB"/>
        </w:rPr>
        <w:t>results by export</w:t>
      </w:r>
      <w:r w:rsidR="00D33796" w:rsidRPr="00567F84">
        <w:rPr>
          <w:color w:val="95B3D7" w:themeColor="accent1" w:themeTint="99"/>
          <w:lang w:val="en-GB"/>
        </w:rPr>
        <w:t>ing states</w:t>
      </w:r>
    </w:p>
    <w:p w14:paraId="4964DC0B" w14:textId="7FD28991" w:rsidR="00652B55" w:rsidRDefault="003A080A" w:rsidP="00AC53A7">
      <w:pPr>
        <w:rPr>
          <w:lang w:val="en-GB"/>
        </w:rPr>
      </w:pPr>
      <w:r w:rsidRPr="0014598A">
        <w:rPr>
          <w:lang w:val="en-GB"/>
        </w:rPr>
        <w:t>Export</w:t>
      </w:r>
      <w:r w:rsidR="00C855BB">
        <w:rPr>
          <w:lang w:val="en-GB"/>
        </w:rPr>
        <w:t xml:space="preserve">ing states, particularly </w:t>
      </w:r>
      <w:r w:rsidR="009B4C54">
        <w:rPr>
          <w:lang w:val="en-GB"/>
        </w:rPr>
        <w:t xml:space="preserve">their </w:t>
      </w:r>
      <w:r w:rsidRPr="0014598A">
        <w:rPr>
          <w:lang w:val="en-GB"/>
        </w:rPr>
        <w:t xml:space="preserve">licensing authorities can use AAMVS results as </w:t>
      </w:r>
      <w:r w:rsidR="002E38D8">
        <w:rPr>
          <w:lang w:val="en-GB"/>
        </w:rPr>
        <w:t xml:space="preserve">additional </w:t>
      </w:r>
      <w:r w:rsidRPr="0014598A">
        <w:rPr>
          <w:lang w:val="en-GB"/>
        </w:rPr>
        <w:t xml:space="preserve">input </w:t>
      </w:r>
      <w:r w:rsidR="00C257C0">
        <w:rPr>
          <w:lang w:val="en-GB"/>
        </w:rPr>
        <w:t xml:space="preserve">for </w:t>
      </w:r>
      <w:r w:rsidRPr="0014598A">
        <w:rPr>
          <w:lang w:val="en-GB"/>
        </w:rPr>
        <w:t>diversion</w:t>
      </w:r>
      <w:r w:rsidRPr="0014598A">
        <w:rPr>
          <w:rFonts w:ascii="Cambria Math" w:hAnsi="Cambria Math" w:cs="Cambria Math"/>
          <w:lang w:val="en-GB"/>
        </w:rPr>
        <w:t>‑</w:t>
      </w:r>
      <w:r w:rsidRPr="0014598A">
        <w:rPr>
          <w:lang w:val="en-GB"/>
        </w:rPr>
        <w:t>risk assessments and related licensing decisions</w:t>
      </w:r>
      <w:r w:rsidR="000D7D46">
        <w:rPr>
          <w:lang w:val="en-GB"/>
        </w:rPr>
        <w:t xml:space="preserve">. </w:t>
      </w:r>
      <w:r w:rsidRPr="0014598A">
        <w:rPr>
          <w:lang w:val="en-GB"/>
        </w:rPr>
        <w:t xml:space="preserve">The tool does not provide a </w:t>
      </w:r>
      <w:r w:rsidR="0062597A">
        <w:rPr>
          <w:lang w:val="en-GB"/>
        </w:rPr>
        <w:t>‘pass mark’</w:t>
      </w:r>
      <w:r w:rsidRPr="0014598A">
        <w:rPr>
          <w:lang w:val="en-GB"/>
        </w:rPr>
        <w:t xml:space="preserve"> or pre</w:t>
      </w:r>
      <w:r w:rsidR="00BE46F3">
        <w:rPr>
          <w:lang w:val="en-GB"/>
        </w:rPr>
        <w:t>-</w:t>
      </w:r>
      <w:r w:rsidRPr="0014598A">
        <w:rPr>
          <w:lang w:val="en-GB"/>
        </w:rPr>
        <w:t xml:space="preserve">defined minimum </w:t>
      </w:r>
      <w:r w:rsidR="00263E1A">
        <w:rPr>
          <w:lang w:val="en-GB"/>
        </w:rPr>
        <w:t>standard</w:t>
      </w:r>
      <w:r w:rsidR="00F07CBB">
        <w:rPr>
          <w:lang w:val="en-GB"/>
        </w:rPr>
        <w:t xml:space="preserve">. </w:t>
      </w:r>
      <w:r w:rsidR="005A78D3">
        <w:rPr>
          <w:lang w:val="en-GB"/>
        </w:rPr>
        <w:t>Exporting s</w:t>
      </w:r>
      <w:r w:rsidRPr="0014598A">
        <w:rPr>
          <w:lang w:val="en-GB"/>
        </w:rPr>
        <w:t xml:space="preserve">tates </w:t>
      </w:r>
      <w:r w:rsidR="005A78D3">
        <w:rPr>
          <w:lang w:val="en-GB"/>
        </w:rPr>
        <w:t xml:space="preserve">will </w:t>
      </w:r>
      <w:r w:rsidR="009C5F75">
        <w:rPr>
          <w:lang w:val="en-GB"/>
        </w:rPr>
        <w:t xml:space="preserve">have </w:t>
      </w:r>
      <w:r w:rsidRPr="0014598A">
        <w:rPr>
          <w:lang w:val="en-GB"/>
        </w:rPr>
        <w:t xml:space="preserve">their own </w:t>
      </w:r>
      <w:r w:rsidR="00B244DB">
        <w:rPr>
          <w:lang w:val="en-GB"/>
        </w:rPr>
        <w:t xml:space="preserve">expectations </w:t>
      </w:r>
      <w:r w:rsidR="009D6319">
        <w:rPr>
          <w:lang w:val="en-GB"/>
        </w:rPr>
        <w:t xml:space="preserve">and </w:t>
      </w:r>
      <w:r w:rsidR="007C2486">
        <w:rPr>
          <w:lang w:val="en-GB"/>
        </w:rPr>
        <w:t>standards</w:t>
      </w:r>
      <w:r w:rsidR="009D6319">
        <w:rPr>
          <w:lang w:val="en-GB"/>
        </w:rPr>
        <w:t xml:space="preserve"> </w:t>
      </w:r>
      <w:r w:rsidR="004A6BAC">
        <w:rPr>
          <w:lang w:val="en-GB"/>
        </w:rPr>
        <w:t xml:space="preserve">in areas like </w:t>
      </w:r>
      <w:r w:rsidRPr="0014598A">
        <w:rPr>
          <w:lang w:val="en-GB"/>
        </w:rPr>
        <w:t>stockpile security, accounting</w:t>
      </w:r>
      <w:r w:rsidR="00B910A0">
        <w:rPr>
          <w:lang w:val="en-GB"/>
        </w:rPr>
        <w:t xml:space="preserve">, </w:t>
      </w:r>
      <w:r w:rsidRPr="0014598A">
        <w:rPr>
          <w:lang w:val="en-GB"/>
        </w:rPr>
        <w:t xml:space="preserve">tracing, </w:t>
      </w:r>
      <w:r w:rsidR="00B910A0">
        <w:rPr>
          <w:lang w:val="en-GB"/>
        </w:rPr>
        <w:t xml:space="preserve">and </w:t>
      </w:r>
      <w:r w:rsidRPr="0014598A">
        <w:rPr>
          <w:lang w:val="en-GB"/>
        </w:rPr>
        <w:t>incident reporting</w:t>
      </w:r>
      <w:r w:rsidR="00DE39AA">
        <w:rPr>
          <w:lang w:val="en-GB"/>
        </w:rPr>
        <w:t xml:space="preserve">. </w:t>
      </w:r>
      <w:r w:rsidR="002C57F4">
        <w:rPr>
          <w:lang w:val="en-GB"/>
        </w:rPr>
        <w:t>The</w:t>
      </w:r>
      <w:r w:rsidR="003C0F2F">
        <w:rPr>
          <w:lang w:val="en-GB"/>
        </w:rPr>
        <w:t xml:space="preserve">ir requirements </w:t>
      </w:r>
      <w:r w:rsidR="0019579F">
        <w:rPr>
          <w:lang w:val="en-GB"/>
        </w:rPr>
        <w:t xml:space="preserve">might </w:t>
      </w:r>
      <w:r w:rsidR="00323C3D">
        <w:rPr>
          <w:lang w:val="en-GB"/>
        </w:rPr>
        <w:t xml:space="preserve">also </w:t>
      </w:r>
      <w:r w:rsidR="0015558C">
        <w:rPr>
          <w:lang w:val="en-GB"/>
        </w:rPr>
        <w:t xml:space="preserve">vary </w:t>
      </w:r>
      <w:r w:rsidR="00DE5861">
        <w:rPr>
          <w:lang w:val="en-GB"/>
        </w:rPr>
        <w:t xml:space="preserve">from case to case. </w:t>
      </w:r>
      <w:r w:rsidR="006C027E">
        <w:rPr>
          <w:lang w:val="en-GB"/>
        </w:rPr>
        <w:t xml:space="preserve"> </w:t>
      </w:r>
    </w:p>
    <w:p w14:paraId="0CFD8B11" w14:textId="58088F68" w:rsidR="006C027E" w:rsidRDefault="003A080A" w:rsidP="00AC53A7">
      <w:pPr>
        <w:rPr>
          <w:lang w:val="en-GB"/>
        </w:rPr>
      </w:pPr>
      <w:r w:rsidRPr="0014598A">
        <w:rPr>
          <w:lang w:val="en-GB"/>
        </w:rPr>
        <w:lastRenderedPageBreak/>
        <w:t xml:space="preserve">Where </w:t>
      </w:r>
      <w:r w:rsidR="00AC675C">
        <w:rPr>
          <w:lang w:val="en-GB"/>
        </w:rPr>
        <w:t xml:space="preserve">self-assessment </w:t>
      </w:r>
      <w:r w:rsidRPr="0014598A">
        <w:rPr>
          <w:lang w:val="en-GB"/>
        </w:rPr>
        <w:t>results show low or uneven scores</w:t>
      </w:r>
      <w:r w:rsidR="00367D12">
        <w:rPr>
          <w:lang w:val="en-GB"/>
        </w:rPr>
        <w:t xml:space="preserve">, </w:t>
      </w:r>
      <w:r w:rsidR="005719A7">
        <w:rPr>
          <w:lang w:val="en-GB"/>
        </w:rPr>
        <w:t xml:space="preserve">particularly </w:t>
      </w:r>
      <w:r w:rsidR="00CF0336">
        <w:rPr>
          <w:lang w:val="en-GB"/>
        </w:rPr>
        <w:t xml:space="preserve">in areas </w:t>
      </w:r>
      <w:r w:rsidR="00B50AFE">
        <w:rPr>
          <w:lang w:val="en-GB"/>
        </w:rPr>
        <w:t xml:space="preserve">considered </w:t>
      </w:r>
      <w:r w:rsidR="00CF0336">
        <w:rPr>
          <w:lang w:val="en-GB"/>
        </w:rPr>
        <w:t xml:space="preserve">of special significance, </w:t>
      </w:r>
      <w:r w:rsidR="00D85FDF">
        <w:rPr>
          <w:lang w:val="en-GB"/>
        </w:rPr>
        <w:t xml:space="preserve">exporters might </w:t>
      </w:r>
      <w:r w:rsidRPr="0014598A">
        <w:rPr>
          <w:lang w:val="en-GB"/>
        </w:rPr>
        <w:t>decide to</w:t>
      </w:r>
      <w:r w:rsidR="00192153">
        <w:rPr>
          <w:lang w:val="en-GB"/>
        </w:rPr>
        <w:t>:</w:t>
      </w:r>
      <w:r w:rsidRPr="0014598A">
        <w:rPr>
          <w:lang w:val="en-GB"/>
        </w:rPr>
        <w:t xml:space="preserve"> </w:t>
      </w:r>
    </w:p>
    <w:p w14:paraId="72E81F90" w14:textId="37FDE9E8" w:rsidR="006C027E" w:rsidRDefault="006C027E" w:rsidP="006C027E">
      <w:pPr>
        <w:pStyle w:val="ListParagraph"/>
        <w:numPr>
          <w:ilvl w:val="0"/>
          <w:numId w:val="39"/>
        </w:numPr>
        <w:rPr>
          <w:lang w:val="en-GB"/>
        </w:rPr>
      </w:pPr>
      <w:r>
        <w:rPr>
          <w:lang w:val="en-GB"/>
        </w:rPr>
        <w:t>A</w:t>
      </w:r>
      <w:r w:rsidR="003A080A" w:rsidRPr="006C027E">
        <w:rPr>
          <w:lang w:val="en-GB"/>
        </w:rPr>
        <w:t>pply stricter conditions</w:t>
      </w:r>
      <w:r w:rsidR="00EB64BC" w:rsidRPr="006C027E">
        <w:rPr>
          <w:lang w:val="en-GB"/>
        </w:rPr>
        <w:t xml:space="preserve"> </w:t>
      </w:r>
      <w:r w:rsidR="00112375" w:rsidRPr="006C027E">
        <w:rPr>
          <w:lang w:val="en-GB"/>
        </w:rPr>
        <w:t xml:space="preserve">(e.g. </w:t>
      </w:r>
      <w:r w:rsidR="00D23CB6" w:rsidRPr="006C027E">
        <w:rPr>
          <w:lang w:val="en-GB"/>
        </w:rPr>
        <w:t>post-delivery</w:t>
      </w:r>
      <w:r w:rsidR="00EB64BC" w:rsidRPr="006C027E">
        <w:rPr>
          <w:lang w:val="en-GB"/>
        </w:rPr>
        <w:t xml:space="preserve"> inspections</w:t>
      </w:r>
      <w:r w:rsidR="00112375" w:rsidRPr="006C027E">
        <w:rPr>
          <w:lang w:val="en-GB"/>
        </w:rPr>
        <w:t>)</w:t>
      </w:r>
    </w:p>
    <w:p w14:paraId="759BDBAF" w14:textId="77777777" w:rsidR="006C027E" w:rsidRDefault="006C027E" w:rsidP="006C027E">
      <w:pPr>
        <w:pStyle w:val="ListParagraph"/>
        <w:numPr>
          <w:ilvl w:val="0"/>
          <w:numId w:val="39"/>
        </w:numPr>
        <w:rPr>
          <w:lang w:val="en-GB"/>
        </w:rPr>
      </w:pPr>
      <w:r>
        <w:rPr>
          <w:lang w:val="en-GB"/>
        </w:rPr>
        <w:t>R</w:t>
      </w:r>
      <w:r w:rsidR="00C20C3D" w:rsidRPr="006C027E">
        <w:rPr>
          <w:lang w:val="en-GB"/>
        </w:rPr>
        <w:t xml:space="preserve">equest </w:t>
      </w:r>
      <w:r>
        <w:rPr>
          <w:lang w:val="en-GB"/>
        </w:rPr>
        <w:t xml:space="preserve">additional </w:t>
      </w:r>
      <w:r w:rsidR="00C20C3D" w:rsidRPr="006C027E">
        <w:rPr>
          <w:lang w:val="en-GB"/>
        </w:rPr>
        <w:t>information</w:t>
      </w:r>
    </w:p>
    <w:p w14:paraId="34199FD3" w14:textId="533BA692" w:rsidR="006C027E" w:rsidRDefault="006C027E" w:rsidP="006C027E">
      <w:pPr>
        <w:pStyle w:val="ListParagraph"/>
        <w:numPr>
          <w:ilvl w:val="0"/>
          <w:numId w:val="39"/>
        </w:numPr>
        <w:rPr>
          <w:lang w:val="en-GB"/>
        </w:rPr>
      </w:pPr>
      <w:r>
        <w:rPr>
          <w:lang w:val="en-GB"/>
        </w:rPr>
        <w:t>S</w:t>
      </w:r>
      <w:r w:rsidR="003A080A" w:rsidRPr="006C027E">
        <w:rPr>
          <w:lang w:val="en-GB"/>
        </w:rPr>
        <w:t xml:space="preserve">eek </w:t>
      </w:r>
      <w:r>
        <w:rPr>
          <w:lang w:val="en-GB"/>
        </w:rPr>
        <w:t>re-</w:t>
      </w:r>
      <w:r w:rsidR="00FD13C0">
        <w:rPr>
          <w:lang w:val="en-GB"/>
        </w:rPr>
        <w:t>a</w:t>
      </w:r>
      <w:r w:rsidR="003A080A" w:rsidRPr="006C027E">
        <w:rPr>
          <w:lang w:val="en-GB"/>
        </w:rPr>
        <w:t>ssurances</w:t>
      </w:r>
    </w:p>
    <w:p w14:paraId="2415E51D" w14:textId="41264925" w:rsidR="003A080A" w:rsidRPr="006C027E" w:rsidRDefault="006C027E" w:rsidP="006C027E">
      <w:pPr>
        <w:pStyle w:val="ListParagraph"/>
        <w:numPr>
          <w:ilvl w:val="0"/>
          <w:numId w:val="39"/>
        </w:numPr>
        <w:rPr>
          <w:lang w:val="en-GB"/>
        </w:rPr>
      </w:pPr>
      <w:r>
        <w:rPr>
          <w:lang w:val="en-GB"/>
        </w:rPr>
        <w:t>I</w:t>
      </w:r>
      <w:r w:rsidR="00740FCC" w:rsidRPr="006C027E">
        <w:rPr>
          <w:lang w:val="en-GB"/>
        </w:rPr>
        <w:t xml:space="preserve">mpose certain </w:t>
      </w:r>
      <w:r w:rsidR="00763E08" w:rsidRPr="006C027E">
        <w:rPr>
          <w:lang w:val="en-GB"/>
        </w:rPr>
        <w:t xml:space="preserve">provisos </w:t>
      </w:r>
      <w:r w:rsidR="000B18E5" w:rsidRPr="006C027E">
        <w:rPr>
          <w:lang w:val="en-GB"/>
        </w:rPr>
        <w:t>(like</w:t>
      </w:r>
      <w:r w:rsidR="00481944" w:rsidRPr="006C027E">
        <w:rPr>
          <w:lang w:val="en-GB"/>
        </w:rPr>
        <w:t xml:space="preserve"> </w:t>
      </w:r>
      <w:r w:rsidR="00B1066F" w:rsidRPr="006C027E">
        <w:rPr>
          <w:lang w:val="en-GB"/>
        </w:rPr>
        <w:t>deadlines for improvement</w:t>
      </w:r>
      <w:r w:rsidR="000744F7" w:rsidRPr="006C027E">
        <w:rPr>
          <w:lang w:val="en-GB"/>
        </w:rPr>
        <w:t>)</w:t>
      </w:r>
      <w:r w:rsidR="009B6DA8" w:rsidRPr="006C027E">
        <w:rPr>
          <w:lang w:val="en-GB"/>
        </w:rPr>
        <w:t xml:space="preserve"> </w:t>
      </w:r>
    </w:p>
    <w:p w14:paraId="57814DEB" w14:textId="641E3856" w:rsidR="00BE0B65" w:rsidRPr="00FA269F" w:rsidRDefault="00543B17" w:rsidP="002C2C9F">
      <w:pPr>
        <w:pStyle w:val="Heading1"/>
        <w:spacing w:before="200"/>
      </w:pPr>
      <w:bookmarkStart w:id="2" w:name="OLE_LINK2"/>
      <w:r w:rsidRPr="00FA269F">
        <w:t xml:space="preserve">Resources and </w:t>
      </w:r>
      <w:r w:rsidR="00E559E7">
        <w:t>r</w:t>
      </w:r>
      <w:r w:rsidRPr="00FA269F">
        <w:t>eferences</w:t>
      </w:r>
    </w:p>
    <w:p w14:paraId="7FDBBFFE" w14:textId="2C3B4480" w:rsidR="00544485" w:rsidRDefault="00544485" w:rsidP="00544485">
      <w:pPr>
        <w:pStyle w:val="ListParagraph"/>
        <w:numPr>
          <w:ilvl w:val="0"/>
          <w:numId w:val="19"/>
        </w:numPr>
        <w:jc w:val="left"/>
        <w:rPr>
          <w:lang w:val="en-GB"/>
        </w:rPr>
      </w:pPr>
      <w:r w:rsidRPr="00544485">
        <w:rPr>
          <w:b/>
          <w:bCs/>
          <w:lang w:val="en-GB"/>
        </w:rPr>
        <w:t>AAMVS Self-Assessment Tool</w:t>
      </w:r>
      <w:r w:rsidRPr="00544485">
        <w:rPr>
          <w:lang w:val="en-GB"/>
        </w:rPr>
        <w:t xml:space="preserve"> </w:t>
      </w:r>
      <w:r>
        <w:rPr>
          <w:lang w:val="en-GB"/>
        </w:rPr>
        <w:t xml:space="preserve">- </w:t>
      </w:r>
      <w:r w:rsidRPr="0014598A">
        <w:rPr>
          <w:lang w:val="en-GB"/>
        </w:rPr>
        <w:t>Geneva International Centre for Humanitarian Demining (GICHD) through its Ammunition Management Advisory Team (AMAT)</w:t>
      </w:r>
      <w:r>
        <w:rPr>
          <w:lang w:val="en-GB"/>
        </w:rPr>
        <w:t xml:space="preserve">: </w:t>
      </w:r>
      <w:hyperlink r:id="rId11" w:history="1">
        <w:r w:rsidRPr="008A1889">
          <w:rPr>
            <w:rStyle w:val="Hyperlink"/>
            <w:lang w:val="en-GB"/>
          </w:rPr>
          <w:t>http://aamvs-amat.gichd.org</w:t>
        </w:r>
      </w:hyperlink>
    </w:p>
    <w:p w14:paraId="2E5086D5" w14:textId="77777777" w:rsidR="00544485" w:rsidRPr="00544485" w:rsidRDefault="00544485" w:rsidP="00944302">
      <w:pPr>
        <w:pStyle w:val="ListParagraph"/>
        <w:jc w:val="left"/>
        <w:rPr>
          <w:lang w:val="en-GB"/>
        </w:rPr>
      </w:pPr>
    </w:p>
    <w:p w14:paraId="495125FC" w14:textId="62AF35C9" w:rsidR="00544485" w:rsidRPr="00544485" w:rsidRDefault="00544485" w:rsidP="00544485">
      <w:pPr>
        <w:pStyle w:val="ListParagraph"/>
        <w:numPr>
          <w:ilvl w:val="0"/>
          <w:numId w:val="19"/>
        </w:numPr>
        <w:jc w:val="left"/>
        <w:rPr>
          <w:lang w:val="en-GB"/>
        </w:rPr>
      </w:pPr>
      <w:r w:rsidRPr="00544485">
        <w:rPr>
          <w:b/>
          <w:bCs/>
          <w:lang w:val="en-GB"/>
        </w:rPr>
        <w:t>International Ammunition Technical Guidelines (IATG)</w:t>
      </w:r>
      <w:r w:rsidRPr="00544485">
        <w:rPr>
          <w:lang w:val="en-GB"/>
        </w:rPr>
        <w:t xml:space="preserve"> – United Nations SaferGuard Programme (UN Office for Disarmament Affairs):</w:t>
      </w:r>
      <w:r w:rsidRPr="00544485">
        <w:rPr>
          <w:rFonts w:ascii="MS Gothic" w:eastAsia="MS Gothic" w:hAnsi="MS Gothic" w:cs="MS Gothic" w:hint="eastAsia"/>
          <w:lang w:val="en-GB"/>
        </w:rPr>
        <w:t> </w:t>
      </w:r>
      <w:hyperlink r:id="rId12" w:history="1">
        <w:r w:rsidRPr="00544485">
          <w:rPr>
            <w:rStyle w:val="Hyperlink"/>
            <w:lang w:val="en-GB"/>
          </w:rPr>
          <w:t>https://disarmament.unoda.org/convarms/ammunition/iatg/</w:t>
        </w:r>
      </w:hyperlink>
    </w:p>
    <w:p w14:paraId="65EDBE50" w14:textId="77777777" w:rsidR="00544485" w:rsidRPr="00544485" w:rsidRDefault="00544485" w:rsidP="00544485">
      <w:pPr>
        <w:pStyle w:val="ListParagraph"/>
        <w:jc w:val="left"/>
        <w:rPr>
          <w:lang w:val="en-GB"/>
        </w:rPr>
      </w:pPr>
    </w:p>
    <w:p w14:paraId="783D5F98" w14:textId="4E30FE01" w:rsidR="00544485" w:rsidRPr="00544485" w:rsidRDefault="00544485" w:rsidP="00544485">
      <w:pPr>
        <w:pStyle w:val="ListParagraph"/>
        <w:numPr>
          <w:ilvl w:val="0"/>
          <w:numId w:val="19"/>
        </w:numPr>
        <w:jc w:val="left"/>
        <w:rPr>
          <w:lang w:val="en-GB"/>
        </w:rPr>
      </w:pPr>
      <w:r w:rsidRPr="00544485">
        <w:rPr>
          <w:b/>
          <w:bCs/>
          <w:lang w:val="en-GB"/>
        </w:rPr>
        <w:t>Modular Small</w:t>
      </w:r>
      <w:r w:rsidRPr="00544485">
        <w:rPr>
          <w:rFonts w:ascii="Cambria Math" w:hAnsi="Cambria Math" w:cs="Cambria Math"/>
          <w:b/>
          <w:bCs/>
          <w:lang w:val="en-GB"/>
        </w:rPr>
        <w:t>‑</w:t>
      </w:r>
      <w:r w:rsidRPr="00544485">
        <w:rPr>
          <w:b/>
          <w:bCs/>
          <w:lang w:val="en-GB"/>
        </w:rPr>
        <w:t>arms</w:t>
      </w:r>
      <w:r w:rsidRPr="00544485">
        <w:rPr>
          <w:rFonts w:ascii="Cambria Math" w:hAnsi="Cambria Math" w:cs="Cambria Math"/>
          <w:b/>
          <w:bCs/>
          <w:lang w:val="en-GB"/>
        </w:rPr>
        <w:t>‑</w:t>
      </w:r>
      <w:r w:rsidRPr="00544485">
        <w:rPr>
          <w:b/>
          <w:bCs/>
          <w:lang w:val="en-GB"/>
        </w:rPr>
        <w:t>control Implementation Compendium (MOSAIC)</w:t>
      </w:r>
      <w:r w:rsidRPr="00544485">
        <w:rPr>
          <w:lang w:val="en-GB"/>
        </w:rPr>
        <w:t xml:space="preserve"> – United Nations small arms programme (UN Office for Disarmament Affairs):</w:t>
      </w:r>
      <w:r w:rsidRPr="00544485">
        <w:rPr>
          <w:rFonts w:ascii="MS Gothic" w:eastAsia="MS Gothic" w:hAnsi="MS Gothic" w:cs="MS Gothic" w:hint="eastAsia"/>
          <w:lang w:val="en-GB"/>
        </w:rPr>
        <w:t> </w:t>
      </w:r>
      <w:hyperlink r:id="rId13" w:history="1">
        <w:r w:rsidRPr="00544485">
          <w:rPr>
            <w:rStyle w:val="Hyperlink"/>
            <w:lang w:val="en-GB"/>
          </w:rPr>
          <w:t>https://disarmament.unoda.org/our-work/conventional-arms/small-arms-and-light-weapons/modular-small-arms-control-implementation-compendium</w:t>
        </w:r>
      </w:hyperlink>
    </w:p>
    <w:p w14:paraId="4E047F16" w14:textId="77777777" w:rsidR="00544485" w:rsidRPr="00544485" w:rsidRDefault="00544485" w:rsidP="00544485">
      <w:pPr>
        <w:pStyle w:val="ListParagraph"/>
        <w:rPr>
          <w:lang w:val="en-GB"/>
        </w:rPr>
      </w:pPr>
    </w:p>
    <w:p w14:paraId="175462D3" w14:textId="0EFB8F5A" w:rsidR="00544485" w:rsidRDefault="00543B17" w:rsidP="00544485">
      <w:pPr>
        <w:pStyle w:val="ListParagraph"/>
        <w:numPr>
          <w:ilvl w:val="0"/>
          <w:numId w:val="19"/>
        </w:numPr>
        <w:jc w:val="left"/>
        <w:rPr>
          <w:lang w:val="en-GB"/>
        </w:rPr>
      </w:pPr>
      <w:bookmarkStart w:id="3" w:name="OLE_LINK3"/>
      <w:r w:rsidRPr="00544485">
        <w:rPr>
          <w:b/>
          <w:bCs/>
          <w:lang w:val="en-GB"/>
        </w:rPr>
        <w:t>Global Framework for Through-Life Conventional Ammunition Management</w:t>
      </w:r>
      <w:r w:rsidR="00544485">
        <w:rPr>
          <w:b/>
          <w:bCs/>
          <w:lang w:val="en-GB"/>
        </w:rPr>
        <w:t xml:space="preserve"> (GFA) – </w:t>
      </w:r>
      <w:r w:rsidR="00544485" w:rsidRPr="00544485">
        <w:rPr>
          <w:lang w:val="en-GB"/>
        </w:rPr>
        <w:t>UN Office for Disarmament Affairs):</w:t>
      </w:r>
      <w:r w:rsidR="00544485" w:rsidRPr="00544485">
        <w:rPr>
          <w:rFonts w:ascii="MS Gothic" w:eastAsia="MS Gothic" w:hAnsi="MS Gothic" w:cs="MS Gothic" w:hint="eastAsia"/>
          <w:lang w:val="en-GB"/>
        </w:rPr>
        <w:t> </w:t>
      </w:r>
      <w:hyperlink r:id="rId14" w:history="1">
        <w:r w:rsidR="00544485" w:rsidRPr="00544485">
          <w:rPr>
            <w:rStyle w:val="Hyperlink"/>
            <w:lang w:val="en-GB"/>
          </w:rPr>
          <w:t>https://publications.unoda.org/en-us/global-framework-for-through-life-conventional-ammunition-management/</w:t>
        </w:r>
      </w:hyperlink>
    </w:p>
    <w:p w14:paraId="5EF427BB" w14:textId="77777777" w:rsidR="00544485" w:rsidRPr="00544485" w:rsidRDefault="00544485" w:rsidP="00544485">
      <w:pPr>
        <w:pStyle w:val="ListParagraph"/>
        <w:rPr>
          <w:lang w:val="en-GB"/>
        </w:rPr>
      </w:pPr>
    </w:p>
    <w:bookmarkEnd w:id="2"/>
    <w:bookmarkEnd w:id="3"/>
    <w:p w14:paraId="6BBB0B85" w14:textId="77777777" w:rsidR="007C6504" w:rsidRDefault="007C6504">
      <w:pPr>
        <w:spacing w:before="0" w:after="200"/>
        <w:jc w:val="left"/>
        <w:outlineLvl w:val="9"/>
        <w:rPr>
          <w:rFonts w:asciiTheme="majorHAnsi" w:eastAsiaTheme="majorEastAsia" w:hAnsiTheme="majorHAnsi" w:cstheme="majorBidi"/>
          <w:b/>
          <w:bCs/>
          <w:color w:val="365F91" w:themeColor="accent1" w:themeShade="BF"/>
          <w:sz w:val="28"/>
          <w:szCs w:val="28"/>
          <w:lang w:val="en-GB"/>
        </w:rPr>
      </w:pPr>
      <w:r>
        <w:rPr>
          <w:lang w:val="en-GB"/>
        </w:rPr>
        <w:br w:type="page"/>
      </w:r>
    </w:p>
    <w:p w14:paraId="7828F6A9" w14:textId="3A871846" w:rsidR="00BE0B65" w:rsidRPr="004D35DB" w:rsidRDefault="00543B17" w:rsidP="00B62DED">
      <w:pPr>
        <w:pStyle w:val="Heading1"/>
        <w:numPr>
          <w:ilvl w:val="0"/>
          <w:numId w:val="0"/>
        </w:numPr>
        <w:ind w:left="7920" w:firstLine="720"/>
        <w:rPr>
          <w:color w:val="auto"/>
        </w:rPr>
      </w:pPr>
      <w:r w:rsidRPr="004D35DB">
        <w:rPr>
          <w:color w:val="auto"/>
        </w:rPr>
        <w:lastRenderedPageBreak/>
        <w:t>Annex</w:t>
      </w:r>
    </w:p>
    <w:p w14:paraId="5B3DBBEC" w14:textId="453F080B" w:rsidR="00BE0B65" w:rsidRPr="00567F84" w:rsidRDefault="00543B17" w:rsidP="000F6EBA">
      <w:pPr>
        <w:pStyle w:val="Heading2"/>
        <w:rPr>
          <w:color w:val="365F91" w:themeColor="accent1" w:themeShade="BF"/>
          <w:sz w:val="28"/>
          <w:szCs w:val="28"/>
          <w:lang w:val="en-GB"/>
        </w:rPr>
      </w:pPr>
      <w:r w:rsidRPr="00567F84">
        <w:rPr>
          <w:color w:val="365F91" w:themeColor="accent1" w:themeShade="BF"/>
          <w:sz w:val="28"/>
          <w:szCs w:val="28"/>
          <w:lang w:val="en-GB"/>
        </w:rPr>
        <w:t>FAQs</w:t>
      </w:r>
    </w:p>
    <w:p w14:paraId="21B41611" w14:textId="77777777" w:rsidR="00AA425C" w:rsidRPr="00AA425C" w:rsidRDefault="00AA425C" w:rsidP="00AA425C">
      <w:pPr>
        <w:rPr>
          <w:b/>
          <w:bCs/>
          <w:lang w:val="en-GB"/>
        </w:rPr>
      </w:pPr>
      <w:r w:rsidRPr="00AA425C">
        <w:rPr>
          <w:b/>
          <w:bCs/>
          <w:lang w:val="en-GB"/>
        </w:rPr>
        <w:t>1. Who is the AAMVS tool for?</w:t>
      </w:r>
    </w:p>
    <w:p w14:paraId="072AC53D" w14:textId="67063777" w:rsidR="00761CC2" w:rsidRDefault="00761CC2" w:rsidP="00AA425C">
      <w:pPr>
        <w:rPr>
          <w:lang w:val="en-GB"/>
        </w:rPr>
      </w:pPr>
      <w:r w:rsidRPr="00761CC2">
        <w:rPr>
          <w:lang w:val="en-GB"/>
        </w:rPr>
        <w:t xml:space="preserve">The tool is primarily designed </w:t>
      </w:r>
      <w:r w:rsidR="00B00D4E">
        <w:rPr>
          <w:lang w:val="en-GB"/>
        </w:rPr>
        <w:t xml:space="preserve">to assist </w:t>
      </w:r>
      <w:r w:rsidR="000F76BF">
        <w:rPr>
          <w:lang w:val="en-GB"/>
        </w:rPr>
        <w:t>export</w:t>
      </w:r>
      <w:r w:rsidR="00FE48D6">
        <w:rPr>
          <w:lang w:val="en-GB"/>
        </w:rPr>
        <w:t xml:space="preserve"> licencing authorities </w:t>
      </w:r>
      <w:r w:rsidR="00312792">
        <w:rPr>
          <w:lang w:val="en-GB"/>
        </w:rPr>
        <w:t>with decision</w:t>
      </w:r>
      <w:r w:rsidR="00637351">
        <w:rPr>
          <w:lang w:val="en-GB"/>
        </w:rPr>
        <w:t xml:space="preserve">s on </w:t>
      </w:r>
      <w:r w:rsidR="00C02E46">
        <w:rPr>
          <w:lang w:val="en-GB"/>
        </w:rPr>
        <w:t>we</w:t>
      </w:r>
      <w:r w:rsidR="00615BB0">
        <w:rPr>
          <w:lang w:val="en-GB"/>
        </w:rPr>
        <w:t>apons/ammunition</w:t>
      </w:r>
      <w:r w:rsidR="00FD622F">
        <w:rPr>
          <w:lang w:val="en-GB"/>
        </w:rPr>
        <w:t xml:space="preserve"> </w:t>
      </w:r>
      <w:r w:rsidR="00C02E46">
        <w:rPr>
          <w:lang w:val="en-GB"/>
        </w:rPr>
        <w:t>exports to</w:t>
      </w:r>
      <w:r w:rsidR="00A0258E">
        <w:rPr>
          <w:lang w:val="en-GB"/>
        </w:rPr>
        <w:t xml:space="preserve"> </w:t>
      </w:r>
      <w:r w:rsidR="00235EFC">
        <w:rPr>
          <w:lang w:val="en-GB"/>
        </w:rPr>
        <w:t>the</w:t>
      </w:r>
      <w:r w:rsidR="0066250E">
        <w:rPr>
          <w:lang w:val="en-GB"/>
        </w:rPr>
        <w:t xml:space="preserve"> state defence and</w:t>
      </w:r>
      <w:r w:rsidR="00235EFC">
        <w:rPr>
          <w:lang w:val="en-GB"/>
        </w:rPr>
        <w:t xml:space="preserve"> </w:t>
      </w:r>
      <w:r w:rsidR="006749D2">
        <w:rPr>
          <w:lang w:val="en-GB"/>
        </w:rPr>
        <w:t>secu</w:t>
      </w:r>
      <w:r w:rsidR="003D7521">
        <w:rPr>
          <w:lang w:val="en-GB"/>
        </w:rPr>
        <w:t xml:space="preserve">rity </w:t>
      </w:r>
      <w:r w:rsidR="00A66FF1">
        <w:rPr>
          <w:lang w:val="en-GB"/>
        </w:rPr>
        <w:t>institutions</w:t>
      </w:r>
      <w:r w:rsidR="006749D2">
        <w:rPr>
          <w:lang w:val="en-GB"/>
        </w:rPr>
        <w:t xml:space="preserve"> </w:t>
      </w:r>
      <w:r w:rsidR="00235EFC">
        <w:rPr>
          <w:lang w:val="en-GB"/>
        </w:rPr>
        <w:t>of other countries</w:t>
      </w:r>
      <w:r w:rsidR="00A4469C">
        <w:rPr>
          <w:lang w:val="en-GB"/>
        </w:rPr>
        <w:t>. T</w:t>
      </w:r>
      <w:r w:rsidR="00C3405D">
        <w:rPr>
          <w:lang w:val="en-GB"/>
        </w:rPr>
        <w:t>h</w:t>
      </w:r>
      <w:r w:rsidR="00330B0F">
        <w:rPr>
          <w:lang w:val="en-GB"/>
        </w:rPr>
        <w:t xml:space="preserve">ose </w:t>
      </w:r>
      <w:r w:rsidR="00686A84">
        <w:rPr>
          <w:lang w:val="en-GB"/>
        </w:rPr>
        <w:t xml:space="preserve">institutions </w:t>
      </w:r>
      <w:r w:rsidR="00721542">
        <w:rPr>
          <w:lang w:val="en-GB"/>
        </w:rPr>
        <w:t>wil</w:t>
      </w:r>
      <w:r w:rsidR="002274D6">
        <w:rPr>
          <w:lang w:val="en-GB"/>
        </w:rPr>
        <w:t>l</w:t>
      </w:r>
      <w:r w:rsidR="00721542">
        <w:rPr>
          <w:lang w:val="en-GB"/>
        </w:rPr>
        <w:t xml:space="preserve"> mainly be </w:t>
      </w:r>
      <w:r w:rsidR="00C3405D">
        <w:rPr>
          <w:lang w:val="en-GB"/>
        </w:rPr>
        <w:t xml:space="preserve">the </w:t>
      </w:r>
      <w:r w:rsidR="00372BEA">
        <w:rPr>
          <w:lang w:val="en-GB"/>
        </w:rPr>
        <w:t>military, police</w:t>
      </w:r>
      <w:r w:rsidR="005612E3">
        <w:rPr>
          <w:lang w:val="en-GB"/>
        </w:rPr>
        <w:t xml:space="preserve">, customs </w:t>
      </w:r>
      <w:r w:rsidR="00A86609">
        <w:rPr>
          <w:lang w:val="en-GB"/>
        </w:rPr>
        <w:t xml:space="preserve">and </w:t>
      </w:r>
      <w:r w:rsidR="00372BEA">
        <w:rPr>
          <w:lang w:val="en-GB"/>
        </w:rPr>
        <w:t xml:space="preserve">border </w:t>
      </w:r>
      <w:r w:rsidR="00A66FF1">
        <w:rPr>
          <w:lang w:val="en-GB"/>
        </w:rPr>
        <w:t>force</w:t>
      </w:r>
      <w:r w:rsidR="005612E3">
        <w:rPr>
          <w:lang w:val="en-GB"/>
        </w:rPr>
        <w:t>s</w:t>
      </w:r>
      <w:r w:rsidR="00DA4BC8">
        <w:rPr>
          <w:lang w:val="en-GB"/>
        </w:rPr>
        <w:t xml:space="preserve"> - </w:t>
      </w:r>
      <w:r w:rsidR="00185E8D">
        <w:rPr>
          <w:lang w:val="en-GB"/>
        </w:rPr>
        <w:t xml:space="preserve">referred to in this context as ‘end-users’. </w:t>
      </w:r>
      <w:r w:rsidR="00D527CD">
        <w:rPr>
          <w:lang w:val="en-GB"/>
        </w:rPr>
        <w:t xml:space="preserve">The tool </w:t>
      </w:r>
      <w:r w:rsidRPr="00761CC2">
        <w:rPr>
          <w:lang w:val="en-GB"/>
        </w:rPr>
        <w:t>can also be used more broadly to inform national</w:t>
      </w:r>
      <w:r w:rsidRPr="00761CC2">
        <w:rPr>
          <w:rFonts w:ascii="Cambria Math" w:hAnsi="Cambria Math" w:cs="Cambria Math"/>
          <w:lang w:val="en-GB"/>
        </w:rPr>
        <w:t>‑</w:t>
      </w:r>
      <w:r w:rsidRPr="00761CC2">
        <w:rPr>
          <w:lang w:val="en-GB"/>
        </w:rPr>
        <w:t>level capacity development</w:t>
      </w:r>
      <w:r w:rsidR="005E1441">
        <w:rPr>
          <w:lang w:val="en-GB"/>
        </w:rPr>
        <w:t>,</w:t>
      </w:r>
      <w:r w:rsidR="000F617F">
        <w:rPr>
          <w:lang w:val="en-GB"/>
        </w:rPr>
        <w:t xml:space="preserve"> by </w:t>
      </w:r>
      <w:r w:rsidR="005E1441">
        <w:rPr>
          <w:lang w:val="en-GB"/>
        </w:rPr>
        <w:t xml:space="preserve">identifying </w:t>
      </w:r>
      <w:r w:rsidRPr="00761CC2">
        <w:rPr>
          <w:lang w:val="en-GB"/>
        </w:rPr>
        <w:t>systemic gaps and help</w:t>
      </w:r>
      <w:r w:rsidR="002A3396">
        <w:rPr>
          <w:lang w:val="en-GB"/>
        </w:rPr>
        <w:t>ing</w:t>
      </w:r>
      <w:r w:rsidRPr="00761CC2">
        <w:rPr>
          <w:lang w:val="en-GB"/>
        </w:rPr>
        <w:t xml:space="preserve"> authorities, partners and donors </w:t>
      </w:r>
      <w:r w:rsidR="002A3396">
        <w:rPr>
          <w:lang w:val="en-GB"/>
        </w:rPr>
        <w:t xml:space="preserve">to </w:t>
      </w:r>
      <w:r w:rsidRPr="00761CC2">
        <w:rPr>
          <w:lang w:val="en-GB"/>
        </w:rPr>
        <w:t xml:space="preserve">plan targeted </w:t>
      </w:r>
      <w:r w:rsidR="00730AD0">
        <w:rPr>
          <w:lang w:val="en-GB"/>
        </w:rPr>
        <w:t>interventions</w:t>
      </w:r>
      <w:r w:rsidRPr="00761CC2">
        <w:rPr>
          <w:lang w:val="en-GB"/>
        </w:rPr>
        <w:t>.</w:t>
      </w:r>
    </w:p>
    <w:p w14:paraId="081FFC2C" w14:textId="0232229C" w:rsidR="00AA425C" w:rsidRPr="00AA425C" w:rsidRDefault="00AA425C" w:rsidP="00AA425C">
      <w:pPr>
        <w:rPr>
          <w:b/>
          <w:bCs/>
          <w:lang w:val="en-GB"/>
        </w:rPr>
      </w:pPr>
      <w:r w:rsidRPr="00AA425C">
        <w:rPr>
          <w:b/>
          <w:bCs/>
          <w:lang w:val="en-GB"/>
        </w:rPr>
        <w:t xml:space="preserve">2. Does the tool </w:t>
      </w:r>
      <w:r w:rsidR="003C2038">
        <w:rPr>
          <w:b/>
          <w:bCs/>
          <w:lang w:val="en-GB"/>
        </w:rPr>
        <w:t xml:space="preserve">produce </w:t>
      </w:r>
      <w:r w:rsidRPr="00AA425C">
        <w:rPr>
          <w:b/>
          <w:bCs/>
          <w:lang w:val="en-GB"/>
        </w:rPr>
        <w:t>a pass/fail result</w:t>
      </w:r>
      <w:r w:rsidR="006912E7">
        <w:rPr>
          <w:b/>
          <w:bCs/>
          <w:lang w:val="en-GB"/>
        </w:rPr>
        <w:t xml:space="preserve"> and </w:t>
      </w:r>
      <w:r w:rsidR="006571BB">
        <w:rPr>
          <w:b/>
          <w:bCs/>
          <w:lang w:val="en-GB"/>
        </w:rPr>
        <w:t xml:space="preserve">specify a </w:t>
      </w:r>
      <w:r w:rsidRPr="00AA425C">
        <w:rPr>
          <w:b/>
          <w:bCs/>
          <w:lang w:val="en-GB"/>
        </w:rPr>
        <w:t xml:space="preserve">minimum </w:t>
      </w:r>
      <w:r w:rsidR="006571BB">
        <w:rPr>
          <w:b/>
          <w:bCs/>
          <w:lang w:val="en-GB"/>
        </w:rPr>
        <w:t>standard</w:t>
      </w:r>
      <w:r w:rsidRPr="00AA425C">
        <w:rPr>
          <w:b/>
          <w:bCs/>
          <w:lang w:val="en-GB"/>
        </w:rPr>
        <w:t>?</w:t>
      </w:r>
    </w:p>
    <w:p w14:paraId="4E19CB9F" w14:textId="5C7DF579" w:rsidR="00AA425C" w:rsidRPr="00AA425C" w:rsidRDefault="00AA425C" w:rsidP="00AA425C">
      <w:pPr>
        <w:rPr>
          <w:lang w:val="en-GB"/>
        </w:rPr>
      </w:pPr>
      <w:r w:rsidRPr="00AA425C">
        <w:rPr>
          <w:lang w:val="en-GB"/>
        </w:rPr>
        <w:t xml:space="preserve">No. The tool does not provide a </w:t>
      </w:r>
      <w:r w:rsidR="00EF3A8A">
        <w:rPr>
          <w:lang w:val="en-GB"/>
        </w:rPr>
        <w:t>pass mark</w:t>
      </w:r>
      <w:r w:rsidRPr="00AA425C">
        <w:rPr>
          <w:lang w:val="en-GB"/>
        </w:rPr>
        <w:t>, certification or pre</w:t>
      </w:r>
      <w:r w:rsidR="00E015EC">
        <w:rPr>
          <w:lang w:val="en-GB"/>
        </w:rPr>
        <w:t>-</w:t>
      </w:r>
      <w:r w:rsidRPr="00AA425C">
        <w:rPr>
          <w:lang w:val="en-GB"/>
        </w:rPr>
        <w:t xml:space="preserve">defined minimum </w:t>
      </w:r>
      <w:r w:rsidR="006571BB">
        <w:rPr>
          <w:lang w:val="en-GB"/>
        </w:rPr>
        <w:t>standard</w:t>
      </w:r>
      <w:r w:rsidRPr="00AA425C">
        <w:rPr>
          <w:lang w:val="en-GB"/>
        </w:rPr>
        <w:t>. It generates structured information on capability maturity (through 1–5 scores)</w:t>
      </w:r>
      <w:r w:rsidR="00E015EC">
        <w:rPr>
          <w:lang w:val="en-GB"/>
        </w:rPr>
        <w:t xml:space="preserve">. </w:t>
      </w:r>
      <w:r w:rsidR="00BA4953">
        <w:rPr>
          <w:lang w:val="en-GB"/>
        </w:rPr>
        <w:t xml:space="preserve">Exporter </w:t>
      </w:r>
      <w:r w:rsidR="00C40487">
        <w:rPr>
          <w:lang w:val="en-GB"/>
        </w:rPr>
        <w:t xml:space="preserve">states can </w:t>
      </w:r>
      <w:r w:rsidRPr="00AA425C">
        <w:rPr>
          <w:lang w:val="en-GB"/>
        </w:rPr>
        <w:t xml:space="preserve">interpret </w:t>
      </w:r>
      <w:r w:rsidR="00C40487">
        <w:rPr>
          <w:lang w:val="en-GB"/>
        </w:rPr>
        <w:t xml:space="preserve">the provided information </w:t>
      </w:r>
      <w:r w:rsidRPr="00AA425C">
        <w:rPr>
          <w:lang w:val="en-GB"/>
        </w:rPr>
        <w:t xml:space="preserve">in line with </w:t>
      </w:r>
      <w:r w:rsidR="00C40487">
        <w:rPr>
          <w:lang w:val="en-GB"/>
        </w:rPr>
        <w:t xml:space="preserve">their </w:t>
      </w:r>
      <w:r w:rsidRPr="00AA425C">
        <w:rPr>
          <w:lang w:val="en-GB"/>
        </w:rPr>
        <w:t xml:space="preserve">own </w:t>
      </w:r>
      <w:r w:rsidR="00C40487">
        <w:rPr>
          <w:lang w:val="en-GB"/>
        </w:rPr>
        <w:t xml:space="preserve">needs and </w:t>
      </w:r>
      <w:r w:rsidRPr="00AA425C">
        <w:rPr>
          <w:lang w:val="en-GB"/>
        </w:rPr>
        <w:t xml:space="preserve">policies, </w:t>
      </w:r>
      <w:r w:rsidR="001009B5">
        <w:rPr>
          <w:lang w:val="en-GB"/>
        </w:rPr>
        <w:t xml:space="preserve">focussing on </w:t>
      </w:r>
      <w:r w:rsidR="008C4654">
        <w:rPr>
          <w:lang w:val="en-GB"/>
        </w:rPr>
        <w:t xml:space="preserve">the areas </w:t>
      </w:r>
      <w:r w:rsidR="000C3BA3">
        <w:rPr>
          <w:lang w:val="en-GB"/>
        </w:rPr>
        <w:t xml:space="preserve">and responses </w:t>
      </w:r>
      <w:r w:rsidR="008C4654">
        <w:rPr>
          <w:lang w:val="en-GB"/>
        </w:rPr>
        <w:t xml:space="preserve">that </w:t>
      </w:r>
      <w:r w:rsidR="002C5E3A">
        <w:rPr>
          <w:lang w:val="en-GB"/>
        </w:rPr>
        <w:t xml:space="preserve">they deem of particular </w:t>
      </w:r>
      <w:r w:rsidR="00712235">
        <w:rPr>
          <w:lang w:val="en-GB"/>
        </w:rPr>
        <w:t>significance</w:t>
      </w:r>
      <w:r w:rsidR="000C3BA3">
        <w:rPr>
          <w:lang w:val="en-GB"/>
        </w:rPr>
        <w:t xml:space="preserve">. </w:t>
      </w:r>
      <w:r w:rsidR="00712235">
        <w:rPr>
          <w:lang w:val="en-GB"/>
        </w:rPr>
        <w:t xml:space="preserve"> </w:t>
      </w:r>
    </w:p>
    <w:p w14:paraId="4EA56FF9" w14:textId="77777777" w:rsidR="00AA425C" w:rsidRPr="00AA425C" w:rsidRDefault="00AA425C" w:rsidP="00AA425C">
      <w:pPr>
        <w:rPr>
          <w:b/>
          <w:bCs/>
          <w:lang w:val="en-GB"/>
        </w:rPr>
      </w:pPr>
      <w:r w:rsidRPr="00AA425C">
        <w:rPr>
          <w:b/>
          <w:bCs/>
          <w:lang w:val="en-GB"/>
        </w:rPr>
        <w:t>3. What do the scores from 1 to 5 mean?</w:t>
      </w:r>
    </w:p>
    <w:p w14:paraId="3BC57BCC" w14:textId="4CF925C0" w:rsidR="00AA425C" w:rsidRPr="00AA425C" w:rsidRDefault="00AA425C" w:rsidP="00AA425C">
      <w:pPr>
        <w:rPr>
          <w:lang w:val="en-GB"/>
        </w:rPr>
      </w:pPr>
      <w:r w:rsidRPr="00AA425C">
        <w:rPr>
          <w:lang w:val="en-GB"/>
        </w:rPr>
        <w:t xml:space="preserve">Scores from 1 to 5 reflect </w:t>
      </w:r>
      <w:r w:rsidR="00D35C63">
        <w:rPr>
          <w:lang w:val="en-GB"/>
        </w:rPr>
        <w:t xml:space="preserve">the maturity </w:t>
      </w:r>
      <w:r w:rsidR="004D5646">
        <w:rPr>
          <w:lang w:val="en-GB"/>
        </w:rPr>
        <w:t xml:space="preserve">of </w:t>
      </w:r>
      <w:r w:rsidRPr="00AA425C">
        <w:rPr>
          <w:lang w:val="en-GB"/>
        </w:rPr>
        <w:t>a particular aspect of arms and ammunition management</w:t>
      </w:r>
      <w:r w:rsidR="004D5646">
        <w:rPr>
          <w:lang w:val="en-GB"/>
        </w:rPr>
        <w:t xml:space="preserve">, </w:t>
      </w:r>
      <w:r w:rsidRPr="00AA425C">
        <w:rPr>
          <w:lang w:val="en-GB"/>
        </w:rPr>
        <w:t xml:space="preserve"> from largely absent or </w:t>
      </w:r>
      <w:r w:rsidRPr="00807F26">
        <w:rPr>
          <w:i/>
          <w:iCs/>
          <w:lang w:val="en-GB"/>
        </w:rPr>
        <w:t>ad hoc</w:t>
      </w:r>
      <w:r w:rsidRPr="00AA425C">
        <w:rPr>
          <w:lang w:val="en-GB"/>
        </w:rPr>
        <w:t xml:space="preserve"> (lower scores) to fully established</w:t>
      </w:r>
      <w:r w:rsidR="004D5646">
        <w:rPr>
          <w:lang w:val="en-GB"/>
        </w:rPr>
        <w:t xml:space="preserve"> and in line with international best practice</w:t>
      </w:r>
      <w:r w:rsidR="00021C50">
        <w:rPr>
          <w:lang w:val="en-GB"/>
        </w:rPr>
        <w:t xml:space="preserve"> </w:t>
      </w:r>
      <w:r w:rsidRPr="00AA425C">
        <w:rPr>
          <w:lang w:val="en-GB"/>
        </w:rPr>
        <w:t>(highe</w:t>
      </w:r>
      <w:r w:rsidR="00021C50">
        <w:rPr>
          <w:lang w:val="en-GB"/>
        </w:rPr>
        <w:t>st</w:t>
      </w:r>
      <w:r w:rsidRPr="00AA425C">
        <w:rPr>
          <w:lang w:val="en-GB"/>
        </w:rPr>
        <w:t xml:space="preserve"> score</w:t>
      </w:r>
      <w:r w:rsidRPr="009D0F56">
        <w:rPr>
          <w:lang w:val="en-GB"/>
        </w:rPr>
        <w:t xml:space="preserve">). </w:t>
      </w:r>
      <w:r w:rsidR="00A916EA">
        <w:rPr>
          <w:lang w:val="en-GB"/>
        </w:rPr>
        <w:t xml:space="preserve">The </w:t>
      </w:r>
      <w:r w:rsidR="00807F26">
        <w:rPr>
          <w:lang w:val="en-GB"/>
        </w:rPr>
        <w:t xml:space="preserve">mean score </w:t>
      </w:r>
      <w:r w:rsidR="005E03EC">
        <w:rPr>
          <w:lang w:val="en-GB"/>
        </w:rPr>
        <w:t>p</w:t>
      </w:r>
      <w:r w:rsidRPr="009D0F56">
        <w:rPr>
          <w:lang w:val="en-GB"/>
        </w:rPr>
        <w:t>rovide</w:t>
      </w:r>
      <w:r w:rsidR="006A52E8" w:rsidRPr="009D0F56">
        <w:rPr>
          <w:lang w:val="en-GB"/>
        </w:rPr>
        <w:t>s</w:t>
      </w:r>
      <w:r w:rsidRPr="009D0F56">
        <w:rPr>
          <w:lang w:val="en-GB"/>
        </w:rPr>
        <w:t xml:space="preserve"> an </w:t>
      </w:r>
      <w:r w:rsidR="0066399A" w:rsidRPr="009D0F56">
        <w:rPr>
          <w:lang w:val="en-GB"/>
        </w:rPr>
        <w:t xml:space="preserve">overall </w:t>
      </w:r>
      <w:r w:rsidRPr="009D0F56">
        <w:rPr>
          <w:lang w:val="en-GB"/>
        </w:rPr>
        <w:t>maturity level</w:t>
      </w:r>
      <w:r w:rsidR="0066399A" w:rsidRPr="009D0F56">
        <w:rPr>
          <w:lang w:val="en-GB"/>
        </w:rPr>
        <w:t xml:space="preserve"> </w:t>
      </w:r>
      <w:r w:rsidR="00ED1BAE" w:rsidRPr="009D0F56">
        <w:rPr>
          <w:lang w:val="en-GB"/>
        </w:rPr>
        <w:t xml:space="preserve">for that aspect of capability, </w:t>
      </w:r>
      <w:r w:rsidR="006A52E8" w:rsidRPr="009D0F56">
        <w:rPr>
          <w:lang w:val="en-GB"/>
        </w:rPr>
        <w:t>although th</w:t>
      </w:r>
      <w:r w:rsidR="00ED1BAE" w:rsidRPr="009D0F56">
        <w:rPr>
          <w:lang w:val="en-GB"/>
        </w:rPr>
        <w:t xml:space="preserve">is should </w:t>
      </w:r>
      <w:r w:rsidRPr="009D0F56">
        <w:rPr>
          <w:lang w:val="en-GB"/>
        </w:rPr>
        <w:t xml:space="preserve">always be </w:t>
      </w:r>
      <w:r w:rsidR="008929A5">
        <w:rPr>
          <w:lang w:val="en-GB"/>
        </w:rPr>
        <w:t>taken a</w:t>
      </w:r>
      <w:r w:rsidR="0017436A">
        <w:rPr>
          <w:lang w:val="en-GB"/>
        </w:rPr>
        <w:t xml:space="preserve">longside </w:t>
      </w:r>
      <w:r w:rsidRPr="00AA425C">
        <w:rPr>
          <w:lang w:val="en-GB"/>
        </w:rPr>
        <w:t xml:space="preserve">the </w:t>
      </w:r>
      <w:r w:rsidR="000F2DD6">
        <w:rPr>
          <w:lang w:val="en-GB"/>
        </w:rPr>
        <w:t xml:space="preserve">scores of individual questions. </w:t>
      </w:r>
    </w:p>
    <w:p w14:paraId="222B20DF" w14:textId="77777777" w:rsidR="00AA425C" w:rsidRPr="00AA425C" w:rsidRDefault="00AA425C" w:rsidP="00AA425C">
      <w:pPr>
        <w:rPr>
          <w:b/>
          <w:bCs/>
          <w:lang w:val="en-GB"/>
        </w:rPr>
      </w:pPr>
      <w:r w:rsidRPr="00AA425C">
        <w:rPr>
          <w:b/>
          <w:bCs/>
          <w:lang w:val="en-GB"/>
        </w:rPr>
        <w:t>4. Are the questions based on recognised international standards?</w:t>
      </w:r>
    </w:p>
    <w:p w14:paraId="6B98C3BB" w14:textId="58FD4D35" w:rsidR="00AA425C" w:rsidRPr="008F6862" w:rsidRDefault="00AA425C" w:rsidP="00AA425C">
      <w:pPr>
        <w:rPr>
          <w:lang w:val="en-GB"/>
        </w:rPr>
      </w:pPr>
      <w:r w:rsidRPr="00AA425C">
        <w:rPr>
          <w:lang w:val="en-GB"/>
        </w:rPr>
        <w:t xml:space="preserve">Yes. </w:t>
      </w:r>
      <w:r w:rsidR="0066250E">
        <w:rPr>
          <w:lang w:val="en-GB"/>
        </w:rPr>
        <w:t xml:space="preserve">While there are no global ‘standards’ on arms and ammunition management, there are internationally recognized </w:t>
      </w:r>
      <w:r w:rsidR="00C52417">
        <w:rPr>
          <w:lang w:val="en-GB"/>
        </w:rPr>
        <w:t xml:space="preserve">good </w:t>
      </w:r>
      <w:r w:rsidR="0066250E">
        <w:rPr>
          <w:lang w:val="en-GB"/>
        </w:rPr>
        <w:t xml:space="preserve">practices found in the IATG and MOSAIC. </w:t>
      </w:r>
      <w:r w:rsidRPr="008F6862">
        <w:rPr>
          <w:lang w:val="en-GB"/>
        </w:rPr>
        <w:t xml:space="preserve">Each </w:t>
      </w:r>
      <w:r w:rsidR="004F1A05" w:rsidRPr="008F6862">
        <w:rPr>
          <w:lang w:val="en-GB"/>
        </w:rPr>
        <w:t xml:space="preserve">functional </w:t>
      </w:r>
      <w:r w:rsidR="005423C7" w:rsidRPr="008F6862">
        <w:rPr>
          <w:lang w:val="en-GB"/>
        </w:rPr>
        <w:t xml:space="preserve">section </w:t>
      </w:r>
      <w:r w:rsidRPr="008F6862">
        <w:rPr>
          <w:lang w:val="en-GB"/>
        </w:rPr>
        <w:t>is cross</w:t>
      </w:r>
      <w:r w:rsidRPr="008F6862">
        <w:rPr>
          <w:rFonts w:ascii="Cambria Math" w:hAnsi="Cambria Math" w:cs="Cambria Math"/>
          <w:lang w:val="en-GB"/>
        </w:rPr>
        <w:t>‑</w:t>
      </w:r>
      <w:r w:rsidRPr="008F6862">
        <w:rPr>
          <w:lang w:val="en-GB"/>
        </w:rPr>
        <w:t xml:space="preserve">referenced to the relevant </w:t>
      </w:r>
      <w:r w:rsidR="004F1A05" w:rsidRPr="008F6862">
        <w:rPr>
          <w:lang w:val="en-GB"/>
        </w:rPr>
        <w:t xml:space="preserve">international </w:t>
      </w:r>
      <w:r w:rsidRPr="008F6862">
        <w:rPr>
          <w:lang w:val="en-GB"/>
        </w:rPr>
        <w:t>provisions</w:t>
      </w:r>
      <w:r w:rsidR="005423C7" w:rsidRPr="008F6862">
        <w:rPr>
          <w:lang w:val="en-GB"/>
        </w:rPr>
        <w:t xml:space="preserve">. </w:t>
      </w:r>
    </w:p>
    <w:p w14:paraId="5E99CA07" w14:textId="7C700099" w:rsidR="00AA425C" w:rsidRPr="00AA425C" w:rsidRDefault="00AA425C" w:rsidP="00AA425C">
      <w:pPr>
        <w:rPr>
          <w:b/>
          <w:bCs/>
          <w:lang w:val="en-GB"/>
        </w:rPr>
      </w:pPr>
      <w:r w:rsidRPr="008F6862">
        <w:rPr>
          <w:b/>
          <w:bCs/>
          <w:lang w:val="en-GB"/>
        </w:rPr>
        <w:t xml:space="preserve">5. Who </w:t>
      </w:r>
      <w:r w:rsidR="00056DBC" w:rsidRPr="008F6862">
        <w:rPr>
          <w:b/>
          <w:bCs/>
          <w:lang w:val="en-GB"/>
        </w:rPr>
        <w:t xml:space="preserve">within </w:t>
      </w:r>
      <w:r w:rsidR="00107D3B" w:rsidRPr="008F6862">
        <w:rPr>
          <w:b/>
          <w:bCs/>
          <w:lang w:val="en-GB"/>
        </w:rPr>
        <w:t xml:space="preserve">an importing country </w:t>
      </w:r>
      <w:r w:rsidRPr="008F6862">
        <w:rPr>
          <w:b/>
          <w:bCs/>
          <w:lang w:val="en-GB"/>
        </w:rPr>
        <w:t>should</w:t>
      </w:r>
      <w:r w:rsidRPr="00AA425C">
        <w:rPr>
          <w:b/>
          <w:bCs/>
          <w:lang w:val="en-GB"/>
        </w:rPr>
        <w:t xml:space="preserve"> complete the questionnaire?</w:t>
      </w:r>
    </w:p>
    <w:p w14:paraId="4CE85A5D" w14:textId="0FCC4FB5" w:rsidR="00AA425C" w:rsidRPr="00AA425C" w:rsidRDefault="00AA425C" w:rsidP="00AA425C">
      <w:pPr>
        <w:rPr>
          <w:lang w:val="en-GB"/>
        </w:rPr>
      </w:pPr>
      <w:r w:rsidRPr="00AA425C">
        <w:rPr>
          <w:lang w:val="en-GB"/>
        </w:rPr>
        <w:t xml:space="preserve">Ideally, a small </w:t>
      </w:r>
      <w:r w:rsidR="00C629B5">
        <w:rPr>
          <w:lang w:val="en-GB"/>
        </w:rPr>
        <w:t>te</w:t>
      </w:r>
      <w:r w:rsidRPr="00AA425C">
        <w:rPr>
          <w:lang w:val="en-GB"/>
        </w:rPr>
        <w:t>am</w:t>
      </w:r>
      <w:r w:rsidR="009510EE">
        <w:rPr>
          <w:lang w:val="en-GB"/>
        </w:rPr>
        <w:t>,</w:t>
      </w:r>
      <w:r w:rsidRPr="00AA425C">
        <w:rPr>
          <w:lang w:val="en-GB"/>
        </w:rPr>
        <w:t xml:space="preserve"> </w:t>
      </w:r>
      <w:r w:rsidR="00C629B5">
        <w:rPr>
          <w:lang w:val="en-GB"/>
        </w:rPr>
        <w:t xml:space="preserve">mainly </w:t>
      </w:r>
      <w:r w:rsidR="00E556AE">
        <w:rPr>
          <w:lang w:val="en-GB"/>
        </w:rPr>
        <w:t xml:space="preserve">from </w:t>
      </w:r>
      <w:r w:rsidR="00C629B5">
        <w:rPr>
          <w:lang w:val="en-GB"/>
        </w:rPr>
        <w:t xml:space="preserve">the end-user </w:t>
      </w:r>
      <w:r w:rsidRPr="00AA425C">
        <w:rPr>
          <w:lang w:val="en-GB"/>
        </w:rPr>
        <w:t xml:space="preserve">should complete the tool, </w:t>
      </w:r>
      <w:r w:rsidR="00877E6C">
        <w:rPr>
          <w:lang w:val="en-GB"/>
        </w:rPr>
        <w:t xml:space="preserve">led and </w:t>
      </w:r>
      <w:r w:rsidRPr="00AA425C">
        <w:rPr>
          <w:lang w:val="en-GB"/>
        </w:rPr>
        <w:t xml:space="preserve">coordinated by a </w:t>
      </w:r>
      <w:r w:rsidR="00C629B5">
        <w:rPr>
          <w:lang w:val="en-GB"/>
        </w:rPr>
        <w:t xml:space="preserve">senior </w:t>
      </w:r>
      <w:r w:rsidR="00D61FB4">
        <w:rPr>
          <w:lang w:val="en-GB"/>
        </w:rPr>
        <w:t xml:space="preserve">official </w:t>
      </w:r>
      <w:r w:rsidR="0043393B">
        <w:rPr>
          <w:lang w:val="en-GB"/>
        </w:rPr>
        <w:t>(</w:t>
      </w:r>
      <w:r w:rsidR="00585DB3">
        <w:rPr>
          <w:lang w:val="en-GB"/>
        </w:rPr>
        <w:t>potentially drawn from ce</w:t>
      </w:r>
      <w:r w:rsidR="00EF4AA7">
        <w:rPr>
          <w:lang w:val="en-GB"/>
        </w:rPr>
        <w:t xml:space="preserve">ntral government like the </w:t>
      </w:r>
      <w:r w:rsidR="005234D0">
        <w:rPr>
          <w:lang w:val="en-GB"/>
        </w:rPr>
        <w:t>s</w:t>
      </w:r>
      <w:r w:rsidR="0043393B">
        <w:rPr>
          <w:lang w:val="en-GB"/>
        </w:rPr>
        <w:t xml:space="preserve">mall </w:t>
      </w:r>
      <w:r w:rsidR="005234D0">
        <w:rPr>
          <w:lang w:val="en-GB"/>
        </w:rPr>
        <w:t>a</w:t>
      </w:r>
      <w:r w:rsidR="0043393B">
        <w:rPr>
          <w:lang w:val="en-GB"/>
        </w:rPr>
        <w:t xml:space="preserve">rms </w:t>
      </w:r>
      <w:r w:rsidR="005234D0">
        <w:rPr>
          <w:lang w:val="en-GB"/>
        </w:rPr>
        <w:t>c</w:t>
      </w:r>
      <w:r w:rsidR="0043393B">
        <w:rPr>
          <w:lang w:val="en-GB"/>
        </w:rPr>
        <w:t xml:space="preserve">ommission). </w:t>
      </w:r>
      <w:r w:rsidRPr="00AA425C">
        <w:rPr>
          <w:lang w:val="en-GB"/>
        </w:rPr>
        <w:t>This team typically includes officials responsible for policy and legal frameworks, logistics and stockpile management, training, infrastructure and safety</w:t>
      </w:r>
      <w:r w:rsidR="00743E49">
        <w:rPr>
          <w:lang w:val="en-GB"/>
        </w:rPr>
        <w:t xml:space="preserve"> - </w:t>
      </w:r>
      <w:r w:rsidRPr="00AA425C">
        <w:rPr>
          <w:lang w:val="en-GB"/>
        </w:rPr>
        <w:t>as well as oversight o</w:t>
      </w:r>
      <w:r w:rsidR="005E46A4">
        <w:rPr>
          <w:lang w:val="en-GB"/>
        </w:rPr>
        <w:t>f</w:t>
      </w:r>
      <w:r w:rsidRPr="00AA425C">
        <w:rPr>
          <w:lang w:val="en-GB"/>
        </w:rPr>
        <w:t xml:space="preserve"> audit functions, so that answers are evidence</w:t>
      </w:r>
      <w:r w:rsidRPr="00AA425C">
        <w:rPr>
          <w:rFonts w:ascii="Cambria Math" w:hAnsi="Cambria Math" w:cs="Cambria Math"/>
          <w:lang w:val="en-GB"/>
        </w:rPr>
        <w:t>‑</w:t>
      </w:r>
      <w:r w:rsidRPr="00AA425C">
        <w:rPr>
          <w:lang w:val="en-GB"/>
        </w:rPr>
        <w:t>based and system</w:t>
      </w:r>
      <w:r w:rsidRPr="00AA425C">
        <w:rPr>
          <w:rFonts w:ascii="Cambria Math" w:hAnsi="Cambria Math" w:cs="Cambria Math"/>
          <w:lang w:val="en-GB"/>
        </w:rPr>
        <w:t>‑</w:t>
      </w:r>
      <w:r w:rsidRPr="00AA425C">
        <w:rPr>
          <w:lang w:val="en-GB"/>
        </w:rPr>
        <w:t>wide</w:t>
      </w:r>
      <w:r w:rsidR="00877E6C">
        <w:rPr>
          <w:lang w:val="en-GB"/>
        </w:rPr>
        <w:t xml:space="preserve">. </w:t>
      </w:r>
    </w:p>
    <w:p w14:paraId="08DF8A3D" w14:textId="03E9049C" w:rsidR="00AA425C" w:rsidRPr="00AA425C" w:rsidRDefault="00AA425C" w:rsidP="00AA425C">
      <w:pPr>
        <w:rPr>
          <w:b/>
          <w:bCs/>
          <w:lang w:val="en-GB"/>
        </w:rPr>
      </w:pPr>
      <w:r w:rsidRPr="00AA425C">
        <w:rPr>
          <w:b/>
          <w:bCs/>
          <w:lang w:val="en-GB"/>
        </w:rPr>
        <w:t xml:space="preserve">6. How should </w:t>
      </w:r>
      <w:r w:rsidR="00B60BBB">
        <w:rPr>
          <w:b/>
          <w:bCs/>
          <w:lang w:val="en-GB"/>
        </w:rPr>
        <w:t xml:space="preserve">the </w:t>
      </w:r>
      <w:r w:rsidR="00954D58">
        <w:rPr>
          <w:b/>
          <w:bCs/>
          <w:lang w:val="en-GB"/>
        </w:rPr>
        <w:t xml:space="preserve">importing state </w:t>
      </w:r>
      <w:r w:rsidRPr="00AA425C">
        <w:rPr>
          <w:b/>
          <w:bCs/>
          <w:lang w:val="en-GB"/>
        </w:rPr>
        <w:t xml:space="preserve">prepare </w:t>
      </w:r>
      <w:r w:rsidR="00302D24">
        <w:rPr>
          <w:b/>
          <w:bCs/>
          <w:lang w:val="en-GB"/>
        </w:rPr>
        <w:t xml:space="preserve">for </w:t>
      </w:r>
      <w:r w:rsidRPr="00AA425C">
        <w:rPr>
          <w:b/>
          <w:bCs/>
          <w:lang w:val="en-GB"/>
        </w:rPr>
        <w:t>filling</w:t>
      </w:r>
      <w:r w:rsidR="00DE5B09">
        <w:rPr>
          <w:b/>
          <w:bCs/>
          <w:lang w:val="en-GB"/>
        </w:rPr>
        <w:t>-</w:t>
      </w:r>
      <w:r w:rsidRPr="00AA425C">
        <w:rPr>
          <w:b/>
          <w:bCs/>
          <w:lang w:val="en-GB"/>
        </w:rPr>
        <w:t>in the tool?</w:t>
      </w:r>
    </w:p>
    <w:p w14:paraId="02C70195" w14:textId="3A462093" w:rsidR="00AA425C" w:rsidRPr="00AA425C" w:rsidRDefault="00AA425C" w:rsidP="00AA425C">
      <w:pPr>
        <w:rPr>
          <w:lang w:val="en-GB"/>
        </w:rPr>
      </w:pPr>
      <w:r w:rsidRPr="00AA425C">
        <w:rPr>
          <w:lang w:val="en-GB"/>
        </w:rPr>
        <w:t xml:space="preserve">Before starting, </w:t>
      </w:r>
      <w:r w:rsidR="007A7F87">
        <w:rPr>
          <w:lang w:val="en-GB"/>
        </w:rPr>
        <w:t xml:space="preserve">the importing state </w:t>
      </w:r>
      <w:r w:rsidRPr="00AA425C">
        <w:rPr>
          <w:lang w:val="en-GB"/>
        </w:rPr>
        <w:t xml:space="preserve">should </w:t>
      </w:r>
      <w:r w:rsidR="0074537F">
        <w:rPr>
          <w:lang w:val="en-GB"/>
        </w:rPr>
        <w:t xml:space="preserve">be clear on </w:t>
      </w:r>
      <w:r w:rsidRPr="00AA425C">
        <w:rPr>
          <w:lang w:val="en-GB"/>
        </w:rPr>
        <w:t>the scope of the assessment, identify the relevant institutions</w:t>
      </w:r>
      <w:r w:rsidR="0074537F">
        <w:rPr>
          <w:lang w:val="en-GB"/>
        </w:rPr>
        <w:t xml:space="preserve"> (e.g. </w:t>
      </w:r>
      <w:r w:rsidR="00156EA6">
        <w:rPr>
          <w:lang w:val="en-GB"/>
        </w:rPr>
        <w:t>military</w:t>
      </w:r>
      <w:r w:rsidR="00B011FA">
        <w:rPr>
          <w:lang w:val="en-GB"/>
        </w:rPr>
        <w:t xml:space="preserve">, </w:t>
      </w:r>
      <w:r w:rsidR="00156EA6">
        <w:rPr>
          <w:lang w:val="en-GB"/>
        </w:rPr>
        <w:t>police)</w:t>
      </w:r>
      <w:r w:rsidRPr="00AA425C">
        <w:rPr>
          <w:lang w:val="en-GB"/>
        </w:rPr>
        <w:t xml:space="preserve">, and </w:t>
      </w:r>
      <w:r w:rsidR="00156EA6">
        <w:rPr>
          <w:lang w:val="en-GB"/>
        </w:rPr>
        <w:t xml:space="preserve">assemble </w:t>
      </w:r>
      <w:r w:rsidRPr="00AA425C">
        <w:rPr>
          <w:lang w:val="en-GB"/>
        </w:rPr>
        <w:t xml:space="preserve">key documents such as laws, regulations, SOPs, training plans, inspection and audit reports. </w:t>
      </w:r>
      <w:r w:rsidR="00660CAD">
        <w:rPr>
          <w:lang w:val="en-GB"/>
        </w:rPr>
        <w:t xml:space="preserve">Those with </w:t>
      </w:r>
      <w:r w:rsidRPr="00AA425C">
        <w:rPr>
          <w:lang w:val="en-GB"/>
        </w:rPr>
        <w:t xml:space="preserve">best knowledge </w:t>
      </w:r>
      <w:r w:rsidR="00B23737">
        <w:rPr>
          <w:lang w:val="en-GB"/>
        </w:rPr>
        <w:t>of the subject should</w:t>
      </w:r>
      <w:r w:rsidR="003338D2">
        <w:rPr>
          <w:lang w:val="en-GB"/>
        </w:rPr>
        <w:t xml:space="preserve"> be drafted in</w:t>
      </w:r>
      <w:r w:rsidR="004371B1">
        <w:rPr>
          <w:lang w:val="en-GB"/>
        </w:rPr>
        <w:t xml:space="preserve">, </w:t>
      </w:r>
      <w:r w:rsidRPr="00AA425C">
        <w:rPr>
          <w:lang w:val="en-GB"/>
        </w:rPr>
        <w:t xml:space="preserve">and </w:t>
      </w:r>
      <w:r w:rsidR="004371B1">
        <w:rPr>
          <w:lang w:val="en-GB"/>
        </w:rPr>
        <w:t xml:space="preserve">there should be </w:t>
      </w:r>
      <w:r w:rsidRPr="00AA425C">
        <w:rPr>
          <w:lang w:val="en-GB"/>
        </w:rPr>
        <w:t>agree</w:t>
      </w:r>
      <w:r w:rsidR="004371B1">
        <w:rPr>
          <w:lang w:val="en-GB"/>
        </w:rPr>
        <w:t>ment</w:t>
      </w:r>
      <w:r w:rsidRPr="00AA425C">
        <w:rPr>
          <w:lang w:val="en-GB"/>
        </w:rPr>
        <w:t xml:space="preserve"> in advance </w:t>
      </w:r>
      <w:r w:rsidR="004371B1">
        <w:rPr>
          <w:lang w:val="en-GB"/>
        </w:rPr>
        <w:t xml:space="preserve">on </w:t>
      </w:r>
      <w:r w:rsidRPr="00AA425C">
        <w:rPr>
          <w:lang w:val="en-GB"/>
        </w:rPr>
        <w:t xml:space="preserve">how evidence will be documented and how </w:t>
      </w:r>
      <w:r w:rsidR="007A7F87">
        <w:rPr>
          <w:lang w:val="en-GB"/>
        </w:rPr>
        <w:t xml:space="preserve">consensus </w:t>
      </w:r>
      <w:r w:rsidRPr="00AA425C">
        <w:rPr>
          <w:lang w:val="en-GB"/>
        </w:rPr>
        <w:t xml:space="preserve">on scores will be </w:t>
      </w:r>
      <w:r w:rsidR="006120CE">
        <w:rPr>
          <w:lang w:val="en-GB"/>
        </w:rPr>
        <w:t>reached</w:t>
      </w:r>
      <w:r w:rsidRPr="00AA425C">
        <w:rPr>
          <w:lang w:val="en-GB"/>
        </w:rPr>
        <w:t>.</w:t>
      </w:r>
    </w:p>
    <w:p w14:paraId="2794662E" w14:textId="77777777" w:rsidR="00AA425C" w:rsidRPr="00AA425C" w:rsidRDefault="00AA425C" w:rsidP="00AA425C">
      <w:pPr>
        <w:rPr>
          <w:b/>
          <w:bCs/>
          <w:lang w:val="en-GB"/>
        </w:rPr>
      </w:pPr>
      <w:r w:rsidRPr="00AA425C">
        <w:rPr>
          <w:b/>
          <w:bCs/>
          <w:lang w:val="en-GB"/>
        </w:rPr>
        <w:lastRenderedPageBreak/>
        <w:t>7. How should export licensing authorities use the results?</w:t>
      </w:r>
    </w:p>
    <w:p w14:paraId="0320BD45" w14:textId="2799A0A0" w:rsidR="00AA425C" w:rsidRDefault="00AA425C" w:rsidP="00356230">
      <w:pPr>
        <w:rPr>
          <w:lang w:val="en-GB"/>
        </w:rPr>
      </w:pPr>
      <w:r w:rsidRPr="00AA425C">
        <w:rPr>
          <w:lang w:val="en-GB"/>
        </w:rPr>
        <w:t xml:space="preserve">Export licensing authorities can use the results as </w:t>
      </w:r>
      <w:r w:rsidR="003A2071">
        <w:rPr>
          <w:lang w:val="en-GB"/>
        </w:rPr>
        <w:t xml:space="preserve">a </w:t>
      </w:r>
      <w:r w:rsidRPr="00AA425C">
        <w:rPr>
          <w:lang w:val="en-GB"/>
        </w:rPr>
        <w:t>structured</w:t>
      </w:r>
      <w:r w:rsidR="00E7768E">
        <w:rPr>
          <w:lang w:val="en-GB"/>
        </w:rPr>
        <w:t xml:space="preserve"> contribution to </w:t>
      </w:r>
      <w:r w:rsidRPr="00AA425C">
        <w:rPr>
          <w:lang w:val="en-GB"/>
        </w:rPr>
        <w:t>diversion</w:t>
      </w:r>
      <w:r w:rsidRPr="00AA425C">
        <w:rPr>
          <w:rFonts w:ascii="Cambria Math" w:hAnsi="Cambria Math" w:cs="Cambria Math"/>
          <w:lang w:val="en-GB"/>
        </w:rPr>
        <w:t>‑</w:t>
      </w:r>
      <w:r w:rsidRPr="00AA425C">
        <w:rPr>
          <w:lang w:val="en-GB"/>
        </w:rPr>
        <w:t>risk assessments and licensing decisions</w:t>
      </w:r>
      <w:r w:rsidR="00374022">
        <w:rPr>
          <w:lang w:val="en-GB"/>
        </w:rPr>
        <w:t xml:space="preserve">. They </w:t>
      </w:r>
      <w:r w:rsidRPr="00AA425C">
        <w:rPr>
          <w:lang w:val="en-GB"/>
        </w:rPr>
        <w:t xml:space="preserve">retain full discretion </w:t>
      </w:r>
      <w:r w:rsidR="00374022">
        <w:rPr>
          <w:lang w:val="en-GB"/>
        </w:rPr>
        <w:t xml:space="preserve">on the weighting to be applied </w:t>
      </w:r>
      <w:r w:rsidR="00B32D77">
        <w:rPr>
          <w:lang w:val="en-GB"/>
        </w:rPr>
        <w:t>to this information</w:t>
      </w:r>
      <w:r w:rsidR="008C6704">
        <w:rPr>
          <w:lang w:val="en-GB"/>
        </w:rPr>
        <w:t>.</w:t>
      </w:r>
      <w:r w:rsidRPr="00AA425C">
        <w:rPr>
          <w:lang w:val="en-GB"/>
        </w:rPr>
        <w:t xml:space="preserve"> They </w:t>
      </w:r>
      <w:r w:rsidR="00356230">
        <w:rPr>
          <w:lang w:val="en-GB"/>
        </w:rPr>
        <w:t xml:space="preserve">will have their own </w:t>
      </w:r>
      <w:r w:rsidR="00D466B9">
        <w:rPr>
          <w:lang w:val="en-GB"/>
        </w:rPr>
        <w:t>expectations and requirements on importer</w:t>
      </w:r>
      <w:r w:rsidR="00C922E3">
        <w:rPr>
          <w:lang w:val="en-GB"/>
        </w:rPr>
        <w:t xml:space="preserve">s’ capabilities, </w:t>
      </w:r>
      <w:r w:rsidR="00E75A27">
        <w:rPr>
          <w:lang w:val="en-GB"/>
        </w:rPr>
        <w:t xml:space="preserve">informed by </w:t>
      </w:r>
      <w:r w:rsidR="00EF6F7D">
        <w:rPr>
          <w:lang w:val="en-GB"/>
        </w:rPr>
        <w:t>context,</w:t>
      </w:r>
      <w:r w:rsidR="00EC21AF">
        <w:rPr>
          <w:lang w:val="en-GB"/>
        </w:rPr>
        <w:t xml:space="preserve"> type </w:t>
      </w:r>
      <w:r w:rsidR="00EF6F7D">
        <w:rPr>
          <w:lang w:val="en-GB"/>
        </w:rPr>
        <w:t xml:space="preserve">of end-user and </w:t>
      </w:r>
      <w:r w:rsidR="00EC21AF">
        <w:rPr>
          <w:lang w:val="en-GB"/>
        </w:rPr>
        <w:t xml:space="preserve">nature </w:t>
      </w:r>
      <w:r w:rsidR="00EF6F7D">
        <w:rPr>
          <w:lang w:val="en-GB"/>
        </w:rPr>
        <w:t xml:space="preserve">of </w:t>
      </w:r>
      <w:r w:rsidR="008A34C5">
        <w:rPr>
          <w:lang w:val="en-GB"/>
        </w:rPr>
        <w:t>proposed export</w:t>
      </w:r>
      <w:r w:rsidR="00E14E87">
        <w:rPr>
          <w:lang w:val="en-GB"/>
        </w:rPr>
        <w:t xml:space="preserve">. </w:t>
      </w:r>
    </w:p>
    <w:p w14:paraId="022A2E63" w14:textId="1400A3EB" w:rsidR="00263CCF" w:rsidRPr="00AA425C" w:rsidRDefault="00263CCF" w:rsidP="00356230">
      <w:pPr>
        <w:rPr>
          <w:lang w:val="en-GB"/>
        </w:rPr>
      </w:pPr>
      <w:r>
        <w:rPr>
          <w:lang w:val="en-GB"/>
        </w:rPr>
        <w:t>The AAMVS is particularly well-suited for situations involving potential new end</w:t>
      </w:r>
      <w:r w:rsidR="005E68F6">
        <w:rPr>
          <w:lang w:val="en-GB"/>
        </w:rPr>
        <w:t>-</w:t>
      </w:r>
      <w:r>
        <w:rPr>
          <w:lang w:val="en-GB"/>
        </w:rPr>
        <w:t xml:space="preserve">user partners. It can serve as </w:t>
      </w:r>
      <w:r w:rsidR="00567C35">
        <w:rPr>
          <w:lang w:val="en-GB"/>
        </w:rPr>
        <w:t>evidence of</w:t>
      </w:r>
      <w:r w:rsidR="0004556D">
        <w:rPr>
          <w:lang w:val="en-GB"/>
        </w:rPr>
        <w:t xml:space="preserve"> the robustness of the </w:t>
      </w:r>
      <w:r w:rsidR="00513771">
        <w:rPr>
          <w:lang w:val="en-GB"/>
        </w:rPr>
        <w:t xml:space="preserve">management system and as an early confidence-building measure. Where post-delivery verifications are being used, the AAMVS can provide valuable data that can later be validated during the verification visits.  </w:t>
      </w:r>
    </w:p>
    <w:p w14:paraId="1A09C048" w14:textId="77777777" w:rsidR="00AA425C" w:rsidRPr="00AA425C" w:rsidRDefault="00AA425C" w:rsidP="00AA425C">
      <w:pPr>
        <w:rPr>
          <w:b/>
          <w:bCs/>
          <w:lang w:val="en-GB"/>
        </w:rPr>
      </w:pPr>
      <w:r w:rsidRPr="00AA425C">
        <w:rPr>
          <w:b/>
          <w:bCs/>
          <w:lang w:val="en-GB"/>
        </w:rPr>
        <w:t>8. How can partners and donors use AAMVS outputs?</w:t>
      </w:r>
    </w:p>
    <w:p w14:paraId="03225730" w14:textId="32C4C737" w:rsidR="00AA425C" w:rsidRPr="00AA425C" w:rsidRDefault="003C5C2D" w:rsidP="00AA425C">
      <w:pPr>
        <w:rPr>
          <w:lang w:val="en-GB"/>
        </w:rPr>
      </w:pPr>
      <w:r>
        <w:rPr>
          <w:lang w:val="en-GB"/>
        </w:rPr>
        <w:t xml:space="preserve">If </w:t>
      </w:r>
      <w:r w:rsidR="00901C4E">
        <w:rPr>
          <w:lang w:val="en-GB"/>
        </w:rPr>
        <w:t xml:space="preserve">the </w:t>
      </w:r>
      <w:r w:rsidR="003904F1">
        <w:rPr>
          <w:lang w:val="en-GB"/>
        </w:rPr>
        <w:t>i</w:t>
      </w:r>
      <w:r w:rsidR="00901C4E">
        <w:rPr>
          <w:lang w:val="en-GB"/>
        </w:rPr>
        <w:t xml:space="preserve">mporting nation decides to </w:t>
      </w:r>
      <w:r w:rsidR="003904F1">
        <w:rPr>
          <w:lang w:val="en-GB"/>
        </w:rPr>
        <w:t>share the information</w:t>
      </w:r>
      <w:r w:rsidR="003D6AAC">
        <w:rPr>
          <w:lang w:val="en-GB"/>
        </w:rPr>
        <w:t xml:space="preserve"> </w:t>
      </w:r>
      <w:r w:rsidR="00D57A4D">
        <w:rPr>
          <w:lang w:val="en-GB"/>
        </w:rPr>
        <w:t xml:space="preserve">from </w:t>
      </w:r>
      <w:r w:rsidR="003D6AAC">
        <w:rPr>
          <w:lang w:val="en-GB"/>
        </w:rPr>
        <w:t>the self-assessment</w:t>
      </w:r>
      <w:r>
        <w:rPr>
          <w:lang w:val="en-GB"/>
        </w:rPr>
        <w:t>, i</w:t>
      </w:r>
      <w:r w:rsidR="00AA425C" w:rsidRPr="00AA425C">
        <w:rPr>
          <w:lang w:val="en-GB"/>
        </w:rPr>
        <w:t xml:space="preserve">nternational organisations, donors and implementing partners can use the </w:t>
      </w:r>
      <w:r w:rsidR="00F27D66">
        <w:rPr>
          <w:lang w:val="en-GB"/>
        </w:rPr>
        <w:t xml:space="preserve">contents </w:t>
      </w:r>
      <w:r w:rsidR="00AA425C" w:rsidRPr="00AA425C">
        <w:rPr>
          <w:lang w:val="en-GB"/>
        </w:rPr>
        <w:t>to identify priority gaps, tailor assistance programmes, and monitor progress over time. The scores and qualitative comments provide an evidence base for joint planning with national authorities</w:t>
      </w:r>
      <w:r w:rsidR="00A53FE4">
        <w:rPr>
          <w:lang w:val="en-GB"/>
        </w:rPr>
        <w:t xml:space="preserve">. </w:t>
      </w:r>
    </w:p>
    <w:p w14:paraId="57778C6D" w14:textId="77777777" w:rsidR="00AA425C" w:rsidRPr="00AA425C" w:rsidRDefault="00AA425C" w:rsidP="00AA425C">
      <w:pPr>
        <w:rPr>
          <w:b/>
          <w:bCs/>
          <w:lang w:val="en-GB"/>
        </w:rPr>
      </w:pPr>
      <w:r w:rsidRPr="00AA425C">
        <w:rPr>
          <w:b/>
          <w:bCs/>
          <w:lang w:val="en-GB"/>
        </w:rPr>
        <w:t>9. How often should the tool be used?</w:t>
      </w:r>
    </w:p>
    <w:p w14:paraId="20531016" w14:textId="508F0628" w:rsidR="00AA425C" w:rsidRPr="00AA425C" w:rsidRDefault="00AA425C" w:rsidP="00AA425C">
      <w:pPr>
        <w:rPr>
          <w:lang w:val="en-GB"/>
        </w:rPr>
      </w:pPr>
      <w:r w:rsidRPr="00AA425C">
        <w:rPr>
          <w:lang w:val="en-GB"/>
        </w:rPr>
        <w:t xml:space="preserve">The tool can be used </w:t>
      </w:r>
      <w:r w:rsidR="006D1D03">
        <w:rPr>
          <w:lang w:val="en-GB"/>
        </w:rPr>
        <w:t xml:space="preserve">as a </w:t>
      </w:r>
      <w:r w:rsidRPr="00AA425C">
        <w:rPr>
          <w:lang w:val="en-GB"/>
        </w:rPr>
        <w:t>one</w:t>
      </w:r>
      <w:r w:rsidRPr="00AA425C">
        <w:rPr>
          <w:rFonts w:ascii="Cambria Math" w:hAnsi="Cambria Math" w:cs="Cambria Math"/>
          <w:lang w:val="en-GB"/>
        </w:rPr>
        <w:t>‑</w:t>
      </w:r>
      <w:r w:rsidRPr="00AA425C">
        <w:rPr>
          <w:lang w:val="en-GB"/>
        </w:rPr>
        <w:t>off diagnos</w:t>
      </w:r>
      <w:r w:rsidR="006D1D03">
        <w:rPr>
          <w:lang w:val="en-GB"/>
        </w:rPr>
        <w:t>tic exercise</w:t>
      </w:r>
      <w:r w:rsidR="00231BF0">
        <w:rPr>
          <w:lang w:val="en-GB"/>
        </w:rPr>
        <w:t xml:space="preserve"> </w:t>
      </w:r>
      <w:r w:rsidR="003440B0">
        <w:rPr>
          <w:lang w:val="en-GB"/>
        </w:rPr>
        <w:t xml:space="preserve">or </w:t>
      </w:r>
      <w:r w:rsidRPr="00AA425C">
        <w:rPr>
          <w:lang w:val="en-GB"/>
        </w:rPr>
        <w:t xml:space="preserve">repeated periodically (for example every 2–3 years or after major reforms) to track change over time. Comparing results across cycles helps to </w:t>
      </w:r>
      <w:r w:rsidR="00B66584">
        <w:rPr>
          <w:lang w:val="en-GB"/>
        </w:rPr>
        <w:t xml:space="preserve">spot </w:t>
      </w:r>
      <w:r w:rsidR="006919C5">
        <w:rPr>
          <w:lang w:val="en-GB"/>
        </w:rPr>
        <w:t xml:space="preserve">change, </w:t>
      </w:r>
      <w:r w:rsidRPr="00AA425C">
        <w:rPr>
          <w:lang w:val="en-GB"/>
        </w:rPr>
        <w:t>demonstrate progress, identify persistent gaps and adjust capacity</w:t>
      </w:r>
      <w:r w:rsidRPr="00AA425C">
        <w:rPr>
          <w:rFonts w:ascii="Cambria Math" w:hAnsi="Cambria Math" w:cs="Cambria Math"/>
          <w:lang w:val="en-GB"/>
        </w:rPr>
        <w:t>‑</w:t>
      </w:r>
      <w:r w:rsidRPr="00AA425C">
        <w:rPr>
          <w:lang w:val="en-GB"/>
        </w:rPr>
        <w:t>development efforts.</w:t>
      </w:r>
    </w:p>
    <w:p w14:paraId="609044B9" w14:textId="1566B146" w:rsidR="00761CC2" w:rsidRPr="00AA425C" w:rsidRDefault="00761CC2" w:rsidP="00761CC2">
      <w:pPr>
        <w:rPr>
          <w:b/>
          <w:bCs/>
          <w:lang w:val="en-GB"/>
        </w:rPr>
      </w:pPr>
      <w:r w:rsidRPr="00AA425C">
        <w:rPr>
          <w:b/>
          <w:bCs/>
          <w:lang w:val="en-GB"/>
        </w:rPr>
        <w:t>1</w:t>
      </w:r>
      <w:r>
        <w:rPr>
          <w:b/>
          <w:bCs/>
          <w:lang w:val="en-GB"/>
        </w:rPr>
        <w:t>0</w:t>
      </w:r>
      <w:r w:rsidRPr="00AA425C">
        <w:rPr>
          <w:b/>
          <w:bCs/>
          <w:lang w:val="en-GB"/>
        </w:rPr>
        <w:t>. Is the tool secure and confidential to use?</w:t>
      </w:r>
    </w:p>
    <w:p w14:paraId="19A94F4A" w14:textId="3FA360BE" w:rsidR="00761CC2" w:rsidRPr="00AA425C" w:rsidRDefault="00761CC2" w:rsidP="00761CC2">
      <w:pPr>
        <w:rPr>
          <w:lang w:val="en-GB"/>
        </w:rPr>
      </w:pPr>
      <w:r w:rsidRPr="00AA425C">
        <w:rPr>
          <w:lang w:val="en-GB"/>
        </w:rPr>
        <w:t>The AAMVS tool is an Excel</w:t>
      </w:r>
      <w:r w:rsidRPr="00AA425C">
        <w:rPr>
          <w:rFonts w:ascii="Cambria Math" w:hAnsi="Cambria Math" w:cs="Cambria Math"/>
          <w:lang w:val="en-GB"/>
        </w:rPr>
        <w:t>‑</w:t>
      </w:r>
      <w:r w:rsidRPr="00AA425C">
        <w:rPr>
          <w:lang w:val="en-GB"/>
        </w:rPr>
        <w:t xml:space="preserve">based file that runs locally and does not require any internet connectivity, online registration, transmission to external servers or use of cloud services. </w:t>
      </w:r>
      <w:r w:rsidR="00E559E7">
        <w:rPr>
          <w:lang w:val="en-GB"/>
        </w:rPr>
        <w:t>End-user</w:t>
      </w:r>
      <w:r w:rsidRPr="00AA425C">
        <w:rPr>
          <w:lang w:val="en-GB"/>
        </w:rPr>
        <w:t>s retain full control over both the file and the results, and can themselves decide if, when and how to share outputs with counterparts</w:t>
      </w:r>
      <w:r w:rsidR="00D76ABF">
        <w:rPr>
          <w:lang w:val="en-GB"/>
        </w:rPr>
        <w:t xml:space="preserve"> (</w:t>
      </w:r>
      <w:r w:rsidRPr="00AA425C">
        <w:rPr>
          <w:lang w:val="en-GB"/>
        </w:rPr>
        <w:t>for example by sending the original file, generating a PDF, or providing only a printed copy or selected extracts</w:t>
      </w:r>
      <w:r w:rsidR="00CD7E78">
        <w:rPr>
          <w:lang w:val="en-GB"/>
        </w:rPr>
        <w:t>).</w:t>
      </w:r>
    </w:p>
    <w:p w14:paraId="2D9CE858" w14:textId="0FB9AE16" w:rsidR="00AA425C" w:rsidRPr="00AA425C" w:rsidRDefault="00AA425C" w:rsidP="00AA425C">
      <w:pPr>
        <w:rPr>
          <w:b/>
          <w:bCs/>
          <w:lang w:val="en-GB"/>
        </w:rPr>
      </w:pPr>
      <w:r w:rsidRPr="00AA425C">
        <w:rPr>
          <w:b/>
          <w:bCs/>
          <w:lang w:val="en-GB"/>
        </w:rPr>
        <w:t>1</w:t>
      </w:r>
      <w:r w:rsidR="00761CC2">
        <w:rPr>
          <w:b/>
          <w:bCs/>
          <w:lang w:val="en-GB"/>
        </w:rPr>
        <w:t>1</w:t>
      </w:r>
      <w:r w:rsidRPr="00AA425C">
        <w:rPr>
          <w:b/>
          <w:bCs/>
          <w:lang w:val="en-GB"/>
        </w:rPr>
        <w:t>. Can the results be shared externally?</w:t>
      </w:r>
    </w:p>
    <w:p w14:paraId="76CFC17A" w14:textId="5A0A19DC" w:rsidR="00AA425C" w:rsidRDefault="00AA425C" w:rsidP="00AA425C">
      <w:pPr>
        <w:rPr>
          <w:lang w:val="en-GB"/>
        </w:rPr>
      </w:pPr>
      <w:r w:rsidRPr="00AA425C">
        <w:rPr>
          <w:lang w:val="en-GB"/>
        </w:rPr>
        <w:t xml:space="preserve">Decisions on </w:t>
      </w:r>
      <w:r w:rsidR="00E120F8">
        <w:rPr>
          <w:lang w:val="en-GB"/>
        </w:rPr>
        <w:t xml:space="preserve">the </w:t>
      </w:r>
      <w:r w:rsidRPr="00AA425C">
        <w:rPr>
          <w:lang w:val="en-GB"/>
        </w:rPr>
        <w:t xml:space="preserve">sharing </w:t>
      </w:r>
      <w:r w:rsidR="00E120F8">
        <w:rPr>
          <w:lang w:val="en-GB"/>
        </w:rPr>
        <w:t xml:space="preserve">of </w:t>
      </w:r>
      <w:r w:rsidRPr="00AA425C">
        <w:rPr>
          <w:lang w:val="en-GB"/>
        </w:rPr>
        <w:t xml:space="preserve">results </w:t>
      </w:r>
      <w:r w:rsidR="000B33E2">
        <w:rPr>
          <w:lang w:val="en-GB"/>
        </w:rPr>
        <w:t>lie</w:t>
      </w:r>
      <w:r w:rsidR="00F01209">
        <w:rPr>
          <w:lang w:val="en-GB"/>
        </w:rPr>
        <w:t>s</w:t>
      </w:r>
      <w:r w:rsidR="000B33E2">
        <w:rPr>
          <w:lang w:val="en-GB"/>
        </w:rPr>
        <w:t xml:space="preserve"> </w:t>
      </w:r>
      <w:r w:rsidRPr="00AA425C">
        <w:rPr>
          <w:lang w:val="en-GB"/>
        </w:rPr>
        <w:t xml:space="preserve">with the </w:t>
      </w:r>
      <w:r w:rsidR="000B33E2">
        <w:rPr>
          <w:lang w:val="en-GB"/>
        </w:rPr>
        <w:t xml:space="preserve">importing </w:t>
      </w:r>
      <w:r w:rsidR="00DC5F8E">
        <w:rPr>
          <w:lang w:val="en-GB"/>
        </w:rPr>
        <w:t>country</w:t>
      </w:r>
      <w:r w:rsidRPr="00AA425C">
        <w:rPr>
          <w:lang w:val="en-GB"/>
        </w:rPr>
        <w:t xml:space="preserve">. Some may choose to share full or partial </w:t>
      </w:r>
      <w:r w:rsidR="00E120F8">
        <w:rPr>
          <w:lang w:val="en-GB"/>
        </w:rPr>
        <w:t xml:space="preserve">results </w:t>
      </w:r>
      <w:r w:rsidRPr="00AA425C">
        <w:rPr>
          <w:lang w:val="en-GB"/>
        </w:rPr>
        <w:t>with partners</w:t>
      </w:r>
      <w:r w:rsidR="00B62DED">
        <w:rPr>
          <w:lang w:val="en-GB"/>
        </w:rPr>
        <w:t>,</w:t>
      </w:r>
      <w:r w:rsidRPr="00AA425C">
        <w:rPr>
          <w:lang w:val="en-GB"/>
        </w:rPr>
        <w:t xml:space="preserve"> </w:t>
      </w:r>
      <w:r w:rsidR="009534E5">
        <w:rPr>
          <w:lang w:val="en-GB"/>
        </w:rPr>
        <w:t xml:space="preserve">to inform </w:t>
      </w:r>
      <w:r w:rsidR="00AD32C8">
        <w:rPr>
          <w:lang w:val="en-GB"/>
        </w:rPr>
        <w:t xml:space="preserve">export control decisions or </w:t>
      </w:r>
      <w:r w:rsidRPr="00AA425C">
        <w:rPr>
          <w:lang w:val="en-GB"/>
        </w:rPr>
        <w:t>to support assistance planning</w:t>
      </w:r>
      <w:r w:rsidR="006311AC">
        <w:rPr>
          <w:lang w:val="en-GB"/>
        </w:rPr>
        <w:t>. O</w:t>
      </w:r>
      <w:r w:rsidRPr="00AA425C">
        <w:rPr>
          <w:lang w:val="en-GB"/>
        </w:rPr>
        <w:t xml:space="preserve">thers may </w:t>
      </w:r>
      <w:r w:rsidR="006311AC">
        <w:rPr>
          <w:lang w:val="en-GB"/>
        </w:rPr>
        <w:t xml:space="preserve">prefer to </w:t>
      </w:r>
      <w:r w:rsidRPr="00AA425C">
        <w:rPr>
          <w:lang w:val="en-GB"/>
        </w:rPr>
        <w:t>share only high</w:t>
      </w:r>
      <w:r w:rsidRPr="00AA425C">
        <w:rPr>
          <w:rFonts w:ascii="Cambria Math" w:hAnsi="Cambria Math" w:cs="Cambria Math"/>
          <w:lang w:val="en-GB"/>
        </w:rPr>
        <w:t>‑</w:t>
      </w:r>
      <w:r w:rsidRPr="00AA425C">
        <w:rPr>
          <w:lang w:val="en-GB"/>
        </w:rPr>
        <w:t xml:space="preserve">level findings. </w:t>
      </w:r>
      <w:r w:rsidR="006929C5" w:rsidRPr="00D23CB6">
        <w:rPr>
          <w:lang w:val="en-GB"/>
        </w:rPr>
        <w:t>Clear arrangements regarding the use of the information and access to it should be established from the outset.</w:t>
      </w:r>
    </w:p>
    <w:p w14:paraId="6D96B113" w14:textId="77777777" w:rsidR="00761CC2" w:rsidRPr="00AA425C" w:rsidRDefault="00761CC2">
      <w:pPr>
        <w:rPr>
          <w:lang w:val="en-GB"/>
        </w:rPr>
      </w:pPr>
    </w:p>
    <w:sectPr w:rsidR="00761CC2" w:rsidRPr="00AA425C" w:rsidSect="001B678A">
      <w:headerReference w:type="default" r:id="rId15"/>
      <w:footerReference w:type="even" r:id="rId16"/>
      <w:footerReference w:type="default" r:id="rId17"/>
      <w:pgSz w:w="11906" w:h="16838"/>
      <w:pgMar w:top="1719"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88AF" w14:textId="77777777" w:rsidR="002A1538" w:rsidRDefault="002A1538" w:rsidP="007C6504">
      <w:pPr>
        <w:spacing w:before="0" w:line="240" w:lineRule="auto"/>
      </w:pPr>
      <w:r>
        <w:separator/>
      </w:r>
    </w:p>
  </w:endnote>
  <w:endnote w:type="continuationSeparator" w:id="0">
    <w:p w14:paraId="3CC1D757" w14:textId="77777777" w:rsidR="002A1538" w:rsidRDefault="002A1538" w:rsidP="007C65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072685"/>
      <w:docPartObj>
        <w:docPartGallery w:val="Page Numbers (Bottom of Page)"/>
        <w:docPartUnique/>
      </w:docPartObj>
    </w:sdtPr>
    <w:sdtContent>
      <w:p w14:paraId="46B45839" w14:textId="7CE6220F" w:rsidR="007C6504" w:rsidRDefault="007C6504" w:rsidP="008A18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A8653B" w14:textId="77777777" w:rsidR="007C6504" w:rsidRDefault="007C6504" w:rsidP="007C65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7628553"/>
      <w:docPartObj>
        <w:docPartGallery w:val="Page Numbers (Bottom of Page)"/>
        <w:docPartUnique/>
      </w:docPartObj>
    </w:sdtPr>
    <w:sdtContent>
      <w:p w14:paraId="54715DE4" w14:textId="7B5DA751" w:rsidR="007C6504" w:rsidRDefault="007C6504" w:rsidP="008A18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186DE1EB" w14:textId="5879F244" w:rsidR="007C6504" w:rsidRDefault="007C6504" w:rsidP="007C65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3A54" w14:textId="77777777" w:rsidR="002A1538" w:rsidRDefault="002A1538" w:rsidP="007C6504">
      <w:pPr>
        <w:spacing w:before="0" w:line="240" w:lineRule="auto"/>
      </w:pPr>
      <w:r>
        <w:separator/>
      </w:r>
    </w:p>
  </w:footnote>
  <w:footnote w:type="continuationSeparator" w:id="0">
    <w:p w14:paraId="6E0DD2FF" w14:textId="77777777" w:rsidR="002A1538" w:rsidRDefault="002A1538" w:rsidP="007C6504">
      <w:pPr>
        <w:spacing w:before="0" w:line="240" w:lineRule="auto"/>
      </w:pPr>
      <w:r>
        <w:continuationSeparator/>
      </w:r>
    </w:p>
  </w:footnote>
  <w:footnote w:id="1">
    <w:p w14:paraId="4251082F" w14:textId="68197244" w:rsidR="00F17020" w:rsidRPr="00F17020" w:rsidRDefault="00F17020">
      <w:pPr>
        <w:pStyle w:val="FootnoteText"/>
        <w:rPr>
          <w:lang w:val="fr-CH"/>
        </w:rPr>
      </w:pPr>
      <w:r>
        <w:rPr>
          <w:rStyle w:val="FootnoteReference"/>
        </w:rPr>
        <w:footnoteRef/>
      </w:r>
      <w:r>
        <w:t xml:space="preserve"> </w:t>
      </w:r>
      <w:hyperlink r:id="rId1" w:history="1">
        <w:r w:rsidR="008644A7" w:rsidRPr="00D80EB3">
          <w:rPr>
            <w:rStyle w:val="Hyperlink"/>
          </w:rPr>
          <w:t>https://eur-lex.europa.eu/eli/dec/2022/2275/oj/eng</w:t>
        </w:r>
      </w:hyperlink>
      <w:r w:rsidR="008644A7">
        <w:t xml:space="preserve"> </w:t>
      </w:r>
    </w:p>
  </w:footnote>
  <w:footnote w:id="2">
    <w:p w14:paraId="53F5A82A" w14:textId="713EB168" w:rsidR="00EA613E" w:rsidRPr="00EA613E" w:rsidRDefault="00EA613E">
      <w:pPr>
        <w:pStyle w:val="FootnoteText"/>
      </w:pPr>
      <w:r>
        <w:rPr>
          <w:rStyle w:val="FootnoteReference"/>
        </w:rPr>
        <w:footnoteRef/>
      </w:r>
      <w:r>
        <w:t xml:space="preserve"> </w:t>
      </w:r>
      <w:r w:rsidRPr="00837D42">
        <w:t xml:space="preserve">See </w:t>
      </w:r>
      <w:r>
        <w:t xml:space="preserve">Article 11 of </w:t>
      </w:r>
      <w:r w:rsidRPr="00837D42">
        <w:t>The Arms Trade Treaty a</w:t>
      </w:r>
      <w:r>
        <w:t>nd Criterion 7 of the EU Common Position defining common rules on governing control of exports of military equipment and technology (CFSP) 2008/944.</w:t>
      </w:r>
    </w:p>
  </w:footnote>
  <w:footnote w:id="3">
    <w:p w14:paraId="0736C24E" w14:textId="5ABDFCE2" w:rsidR="0066250E" w:rsidRPr="0066250E" w:rsidRDefault="0066250E">
      <w:pPr>
        <w:pStyle w:val="FootnoteText"/>
      </w:pPr>
      <w:r>
        <w:rPr>
          <w:rStyle w:val="FootnoteReference"/>
        </w:rPr>
        <w:footnoteRef/>
      </w:r>
      <w:r>
        <w:t xml:space="preserve"> </w:t>
      </w:r>
      <w:hyperlink r:id="rId2" w:history="1">
        <w:r w:rsidR="00B3665C" w:rsidRPr="00D80EB3">
          <w:rPr>
            <w:rStyle w:val="Hyperlink"/>
          </w:rPr>
          <w:t>https://unsaferguard.org/self-assessment-tools</w:t>
        </w:r>
      </w:hyperlink>
      <w:r w:rsidR="00B3665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23DF" w14:textId="45BD5E4C" w:rsidR="007C6504" w:rsidRDefault="007C6504" w:rsidP="007C6504">
    <w:pPr>
      <w:pStyle w:val="Header"/>
      <w:jc w:val="right"/>
    </w:pPr>
    <w:r>
      <w:rPr>
        <w:noProof/>
      </w:rPr>
      <w:drawing>
        <wp:anchor distT="0" distB="0" distL="114300" distR="114300" simplePos="0" relativeHeight="251659264" behindDoc="0" locked="0" layoutInCell="1" allowOverlap="1" wp14:anchorId="12C999EB" wp14:editId="314DC3C1">
          <wp:simplePos x="0" y="0"/>
          <wp:positionH relativeFrom="column">
            <wp:posOffset>3913643</wp:posOffset>
          </wp:positionH>
          <wp:positionV relativeFrom="paragraph">
            <wp:posOffset>-43815</wp:posOffset>
          </wp:positionV>
          <wp:extent cx="2526665" cy="396875"/>
          <wp:effectExtent l="0" t="0" r="635" b="0"/>
          <wp:wrapSquare wrapText="bothSides"/>
          <wp:docPr id="7" name="Picture 6" descr="A close-up of a logo&#10;&#10;AI-generated content may be incorrect.">
            <a:extLst xmlns:a="http://schemas.openxmlformats.org/drawingml/2006/main">
              <a:ext uri="{FF2B5EF4-FFF2-40B4-BE49-F238E27FC236}">
                <a16:creationId xmlns:a16="http://schemas.microsoft.com/office/drawing/2014/main" id="{810A253B-4C83-4BC8-969A-9B923E733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up of a logo&#10;&#10;AI-generated content may be incorrect.">
                    <a:extLst>
                      <a:ext uri="{FF2B5EF4-FFF2-40B4-BE49-F238E27FC236}">
                        <a16:creationId xmlns:a16="http://schemas.microsoft.com/office/drawing/2014/main" id="{810A253B-4C83-4BC8-969A-9B923E73385B}"/>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1592" b="54369"/>
                  <a:stretch>
                    <a:fillRect/>
                  </a:stretch>
                </pic:blipFill>
                <pic:spPr bwMode="auto">
                  <a:xfrm>
                    <a:off x="0" y="0"/>
                    <a:ext cx="2526665" cy="39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C1D952A" wp14:editId="6FD87043">
          <wp:simplePos x="0" y="0"/>
          <wp:positionH relativeFrom="column">
            <wp:posOffset>-133377</wp:posOffset>
          </wp:positionH>
          <wp:positionV relativeFrom="paragraph">
            <wp:posOffset>-43953</wp:posOffset>
          </wp:positionV>
          <wp:extent cx="2524656" cy="492981"/>
          <wp:effectExtent l="0" t="0" r="3175" b="2540"/>
          <wp:wrapSquare wrapText="bothSides"/>
          <wp:docPr id="256556441" name="Picture 6" descr="A close-up of a logo&#10;&#10;AI-generated content may be incorrect.">
            <a:extLst xmlns:a="http://schemas.openxmlformats.org/drawingml/2006/main">
              <a:ext uri="{FF2B5EF4-FFF2-40B4-BE49-F238E27FC236}">
                <a16:creationId xmlns:a16="http://schemas.microsoft.com/office/drawing/2014/main" id="{810A253B-4C83-4BC8-969A-9B923E733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up of a logo&#10;&#10;AI-generated content may be incorrect.">
                    <a:extLst>
                      <a:ext uri="{FF2B5EF4-FFF2-40B4-BE49-F238E27FC236}">
                        <a16:creationId xmlns:a16="http://schemas.microsoft.com/office/drawing/2014/main" id="{810A253B-4C83-4BC8-969A-9B923E73385B}"/>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46988" b="10758"/>
                  <a:stretch>
                    <a:fillRect/>
                  </a:stretch>
                </pic:blipFill>
                <pic:spPr bwMode="auto">
                  <a:xfrm>
                    <a:off x="0" y="0"/>
                    <a:ext cx="2524656" cy="4929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4351"/>
        </w:tabs>
        <w:ind w:left="4351"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D2B7F"/>
    <w:multiLevelType w:val="hybridMultilevel"/>
    <w:tmpl w:val="C64CF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78353E0"/>
    <w:multiLevelType w:val="hybridMultilevel"/>
    <w:tmpl w:val="BB262DDC"/>
    <w:lvl w:ilvl="0" w:tplc="FB06BE90">
      <w:start w:val="1"/>
      <w:numFmt w:val="bullet"/>
      <w:lvlText w:val="-"/>
      <w:lvlJc w:val="left"/>
      <w:pPr>
        <w:ind w:left="360" w:hanging="360"/>
      </w:pPr>
      <w:rPr>
        <w:rFonts w:ascii="Arial Nova" w:eastAsiaTheme="minorEastAsia" w:hAnsi="Arial Nova" w:cstheme="minorBidi" w:hint="default"/>
      </w:rPr>
    </w:lvl>
    <w:lvl w:ilvl="1" w:tplc="A50EB20E">
      <w:start w:val="1"/>
      <w:numFmt w:val="bullet"/>
      <w:lvlText w:val="•"/>
      <w:lvlJc w:val="left"/>
      <w:pPr>
        <w:ind w:left="1440" w:hanging="720"/>
      </w:pPr>
      <w:rPr>
        <w:rFonts w:ascii="Arial Nova" w:eastAsiaTheme="minorEastAsia" w:hAnsi="Arial Nov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EB716F"/>
    <w:multiLevelType w:val="hybridMultilevel"/>
    <w:tmpl w:val="B770F2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CE01B2E"/>
    <w:multiLevelType w:val="hybridMultilevel"/>
    <w:tmpl w:val="D48E00B0"/>
    <w:lvl w:ilvl="0" w:tplc="52D8B380">
      <w:start w:val="6"/>
      <w:numFmt w:val="bullet"/>
      <w:lvlText w:val="-"/>
      <w:lvlJc w:val="left"/>
      <w:pPr>
        <w:ind w:left="720" w:hanging="360"/>
      </w:pPr>
      <w:rPr>
        <w:rFonts w:ascii="Arial Nova" w:eastAsiaTheme="minorEastAsia" w:hAnsi="Arial Nova" w:cstheme="minorBidi" w:hint="default"/>
      </w:rPr>
    </w:lvl>
    <w:lvl w:ilvl="1" w:tplc="9E8E14E4">
      <w:start w:val="6"/>
      <w:numFmt w:val="bullet"/>
      <w:lvlText w:val="•"/>
      <w:lvlJc w:val="left"/>
      <w:pPr>
        <w:ind w:left="1800" w:hanging="720"/>
      </w:pPr>
      <w:rPr>
        <w:rFonts w:ascii="Arial Nova" w:eastAsiaTheme="minorEastAsia" w:hAnsi="Arial Nov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016E52"/>
    <w:multiLevelType w:val="multilevel"/>
    <w:tmpl w:val="264EEAA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4E6E03"/>
    <w:multiLevelType w:val="hybridMultilevel"/>
    <w:tmpl w:val="FFA26D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77112D"/>
    <w:multiLevelType w:val="multilevel"/>
    <w:tmpl w:val="7A50E86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3D5EA5"/>
    <w:multiLevelType w:val="hybridMultilevel"/>
    <w:tmpl w:val="ABBCBD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4E5A5D"/>
    <w:multiLevelType w:val="hybridMultilevel"/>
    <w:tmpl w:val="DB14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167BB9"/>
    <w:multiLevelType w:val="multilevel"/>
    <w:tmpl w:val="51407F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306422"/>
    <w:multiLevelType w:val="multilevel"/>
    <w:tmpl w:val="5ACA9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F63AB1"/>
    <w:multiLevelType w:val="hybridMultilevel"/>
    <w:tmpl w:val="8A50B3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6F765C8"/>
    <w:multiLevelType w:val="hybridMultilevel"/>
    <w:tmpl w:val="C846A0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6F03D2"/>
    <w:multiLevelType w:val="hybridMultilevel"/>
    <w:tmpl w:val="6ECC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22C64"/>
    <w:multiLevelType w:val="multilevel"/>
    <w:tmpl w:val="51407F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445D5C"/>
    <w:multiLevelType w:val="hybridMultilevel"/>
    <w:tmpl w:val="E876A162"/>
    <w:lvl w:ilvl="0" w:tplc="04090001">
      <w:start w:val="1"/>
      <w:numFmt w:val="bullet"/>
      <w:lvlText w:val=""/>
      <w:lvlJc w:val="left"/>
      <w:pPr>
        <w:ind w:left="360" w:hanging="360"/>
      </w:pPr>
      <w:rPr>
        <w:rFonts w:ascii="Symbol" w:hAnsi="Symbol" w:hint="default"/>
      </w:rPr>
    </w:lvl>
    <w:lvl w:ilvl="1" w:tplc="9F701D22">
      <w:numFmt w:val="bullet"/>
      <w:lvlText w:val="•"/>
      <w:lvlJc w:val="left"/>
      <w:pPr>
        <w:ind w:left="1440" w:hanging="720"/>
      </w:pPr>
      <w:rPr>
        <w:rFonts w:ascii="Arial Nova" w:eastAsiaTheme="minorEastAsia" w:hAnsi="Arial Nov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E672A5"/>
    <w:multiLevelType w:val="hybridMultilevel"/>
    <w:tmpl w:val="CAFE28A2"/>
    <w:lvl w:ilvl="0" w:tplc="52D8B380">
      <w:start w:val="6"/>
      <w:numFmt w:val="bullet"/>
      <w:lvlText w:val="-"/>
      <w:lvlJc w:val="left"/>
      <w:pPr>
        <w:ind w:left="720" w:hanging="360"/>
      </w:pPr>
      <w:rPr>
        <w:rFonts w:ascii="Arial Nova" w:eastAsiaTheme="minorEastAsia" w:hAnsi="Arial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35D5B"/>
    <w:multiLevelType w:val="multilevel"/>
    <w:tmpl w:val="0B5890C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0848F3"/>
    <w:multiLevelType w:val="hybridMultilevel"/>
    <w:tmpl w:val="C87840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74497A"/>
    <w:multiLevelType w:val="hybridMultilevel"/>
    <w:tmpl w:val="493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7767D"/>
    <w:multiLevelType w:val="multilevel"/>
    <w:tmpl w:val="AC26BAE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1920252"/>
    <w:multiLevelType w:val="hybridMultilevel"/>
    <w:tmpl w:val="73FA9F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D56DC8"/>
    <w:multiLevelType w:val="hybridMultilevel"/>
    <w:tmpl w:val="414E9F04"/>
    <w:lvl w:ilvl="0" w:tplc="04090001">
      <w:start w:val="1"/>
      <w:numFmt w:val="bullet"/>
      <w:lvlText w:val=""/>
      <w:lvlJc w:val="left"/>
      <w:pPr>
        <w:ind w:left="720" w:hanging="360"/>
      </w:pPr>
      <w:rPr>
        <w:rFonts w:ascii="Symbol" w:hAnsi="Symbol" w:hint="default"/>
      </w:rPr>
    </w:lvl>
    <w:lvl w:ilvl="1" w:tplc="E09E8DC8">
      <w:start w:val="1"/>
      <w:numFmt w:val="bullet"/>
      <w:lvlText w:val="-"/>
      <w:lvlJc w:val="left"/>
      <w:pPr>
        <w:ind w:left="1440" w:hanging="360"/>
      </w:pPr>
      <w:rPr>
        <w:rFonts w:ascii="Arial Nova" w:eastAsiaTheme="minorEastAsia" w:hAnsi="Arial Nov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093DDE"/>
    <w:multiLevelType w:val="hybridMultilevel"/>
    <w:tmpl w:val="561601E0"/>
    <w:lvl w:ilvl="0" w:tplc="52D8B380">
      <w:start w:val="6"/>
      <w:numFmt w:val="bullet"/>
      <w:lvlText w:val="-"/>
      <w:lvlJc w:val="left"/>
      <w:pPr>
        <w:ind w:left="720" w:hanging="360"/>
      </w:pPr>
      <w:rPr>
        <w:rFonts w:ascii="Arial Nova" w:eastAsiaTheme="minorEastAsia" w:hAnsi="Arial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167B9"/>
    <w:multiLevelType w:val="hybridMultilevel"/>
    <w:tmpl w:val="D9E6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05EAB"/>
    <w:multiLevelType w:val="hybridMultilevel"/>
    <w:tmpl w:val="44ACE2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BCC3E2E"/>
    <w:multiLevelType w:val="multilevel"/>
    <w:tmpl w:val="AC26BAE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714D5B8B"/>
    <w:multiLevelType w:val="hybridMultilevel"/>
    <w:tmpl w:val="7960E16C"/>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37" w15:restartNumberingAfterBreak="0">
    <w:nsid w:val="718E2813"/>
    <w:multiLevelType w:val="hybridMultilevel"/>
    <w:tmpl w:val="040EE68A"/>
    <w:lvl w:ilvl="0" w:tplc="C07040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B33DAF"/>
    <w:multiLevelType w:val="multilevel"/>
    <w:tmpl w:val="E3605CF2"/>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716612445">
    <w:abstractNumId w:val="8"/>
  </w:num>
  <w:num w:numId="2" w16cid:durableId="358046325">
    <w:abstractNumId w:val="6"/>
  </w:num>
  <w:num w:numId="3" w16cid:durableId="458962653">
    <w:abstractNumId w:val="5"/>
  </w:num>
  <w:num w:numId="4" w16cid:durableId="1552572861">
    <w:abstractNumId w:val="4"/>
  </w:num>
  <w:num w:numId="5" w16cid:durableId="1599559996">
    <w:abstractNumId w:val="7"/>
  </w:num>
  <w:num w:numId="6" w16cid:durableId="353264014">
    <w:abstractNumId w:val="3"/>
  </w:num>
  <w:num w:numId="7" w16cid:durableId="341906102">
    <w:abstractNumId w:val="2"/>
  </w:num>
  <w:num w:numId="8" w16cid:durableId="1526482610">
    <w:abstractNumId w:val="1"/>
  </w:num>
  <w:num w:numId="9" w16cid:durableId="1386828983">
    <w:abstractNumId w:val="0"/>
  </w:num>
  <w:num w:numId="10" w16cid:durableId="202793079">
    <w:abstractNumId w:val="19"/>
  </w:num>
  <w:num w:numId="11" w16cid:durableId="1070232892">
    <w:abstractNumId w:val="24"/>
  </w:num>
  <w:num w:numId="12" w16cid:durableId="929704170">
    <w:abstractNumId w:val="28"/>
  </w:num>
  <w:num w:numId="13" w16cid:durableId="1554999822">
    <w:abstractNumId w:val="37"/>
  </w:num>
  <w:num w:numId="14" w16cid:durableId="2041011926">
    <w:abstractNumId w:val="38"/>
  </w:num>
  <w:num w:numId="15" w16cid:durableId="1174152000">
    <w:abstractNumId w:val="13"/>
  </w:num>
  <w:num w:numId="16" w16cid:durableId="415438330">
    <w:abstractNumId w:val="35"/>
  </w:num>
  <w:num w:numId="17" w16cid:durableId="681318363">
    <w:abstractNumId w:val="29"/>
  </w:num>
  <w:num w:numId="18" w16cid:durableId="749809216">
    <w:abstractNumId w:val="10"/>
  </w:num>
  <w:num w:numId="19" w16cid:durableId="1825924915">
    <w:abstractNumId w:val="31"/>
  </w:num>
  <w:num w:numId="20" w16cid:durableId="112285758">
    <w:abstractNumId w:val="15"/>
  </w:num>
  <w:num w:numId="21" w16cid:durableId="509297729">
    <w:abstractNumId w:val="17"/>
  </w:num>
  <w:num w:numId="22" w16cid:durableId="990407260">
    <w:abstractNumId w:val="25"/>
  </w:num>
  <w:num w:numId="23" w16cid:durableId="2109883262">
    <w:abstractNumId w:val="12"/>
  </w:num>
  <w:num w:numId="24" w16cid:durableId="978612710">
    <w:abstractNumId w:val="32"/>
  </w:num>
  <w:num w:numId="25" w16cid:durableId="968710161">
    <w:abstractNumId w:val="16"/>
  </w:num>
  <w:num w:numId="26" w16cid:durableId="304091085">
    <w:abstractNumId w:val="36"/>
  </w:num>
  <w:num w:numId="27" w16cid:durableId="251932808">
    <w:abstractNumId w:val="14"/>
  </w:num>
  <w:num w:numId="28" w16cid:durableId="727384899">
    <w:abstractNumId w:val="26"/>
  </w:num>
  <w:num w:numId="29" w16cid:durableId="736168830">
    <w:abstractNumId w:val="23"/>
  </w:num>
  <w:num w:numId="30" w16cid:durableId="2114787107">
    <w:abstractNumId w:val="11"/>
  </w:num>
  <w:num w:numId="31" w16cid:durableId="865559354">
    <w:abstractNumId w:val="9"/>
  </w:num>
  <w:num w:numId="32" w16cid:durableId="978416850">
    <w:abstractNumId w:val="34"/>
  </w:num>
  <w:num w:numId="33" w16cid:durableId="355234277">
    <w:abstractNumId w:val="20"/>
  </w:num>
  <w:num w:numId="34" w16cid:durableId="2104372591">
    <w:abstractNumId w:val="22"/>
  </w:num>
  <w:num w:numId="35" w16cid:durableId="1010645340">
    <w:abstractNumId w:val="27"/>
  </w:num>
  <w:num w:numId="36" w16cid:durableId="1294944392">
    <w:abstractNumId w:val="30"/>
  </w:num>
  <w:num w:numId="37" w16cid:durableId="586312081">
    <w:abstractNumId w:val="21"/>
  </w:num>
  <w:num w:numId="38" w16cid:durableId="1642688149">
    <w:abstractNumId w:val="18"/>
  </w:num>
  <w:num w:numId="39" w16cid:durableId="2226451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44"/>
    <w:rsid w:val="0000568B"/>
    <w:rsid w:val="00012D02"/>
    <w:rsid w:val="0001360C"/>
    <w:rsid w:val="00014C75"/>
    <w:rsid w:val="00016495"/>
    <w:rsid w:val="00016F66"/>
    <w:rsid w:val="00021C50"/>
    <w:rsid w:val="00022A90"/>
    <w:rsid w:val="000231C4"/>
    <w:rsid w:val="0002397F"/>
    <w:rsid w:val="00030B26"/>
    <w:rsid w:val="00030B9C"/>
    <w:rsid w:val="00031299"/>
    <w:rsid w:val="000315A1"/>
    <w:rsid w:val="000317E7"/>
    <w:rsid w:val="00031AE5"/>
    <w:rsid w:val="00031AEF"/>
    <w:rsid w:val="00034616"/>
    <w:rsid w:val="000359C8"/>
    <w:rsid w:val="000409B6"/>
    <w:rsid w:val="00040B01"/>
    <w:rsid w:val="00043431"/>
    <w:rsid w:val="0004358D"/>
    <w:rsid w:val="00045007"/>
    <w:rsid w:val="0004556D"/>
    <w:rsid w:val="000467B4"/>
    <w:rsid w:val="00047342"/>
    <w:rsid w:val="00056DBC"/>
    <w:rsid w:val="0006063C"/>
    <w:rsid w:val="00060930"/>
    <w:rsid w:val="00060EF8"/>
    <w:rsid w:val="00061603"/>
    <w:rsid w:val="000679F0"/>
    <w:rsid w:val="000706C5"/>
    <w:rsid w:val="0007153C"/>
    <w:rsid w:val="000744F7"/>
    <w:rsid w:val="0007646E"/>
    <w:rsid w:val="00080C28"/>
    <w:rsid w:val="00082A53"/>
    <w:rsid w:val="00082F52"/>
    <w:rsid w:val="00083113"/>
    <w:rsid w:val="00083CEF"/>
    <w:rsid w:val="00086392"/>
    <w:rsid w:val="00086940"/>
    <w:rsid w:val="00086EC8"/>
    <w:rsid w:val="000879DA"/>
    <w:rsid w:val="00096969"/>
    <w:rsid w:val="000A1FBA"/>
    <w:rsid w:val="000A27B2"/>
    <w:rsid w:val="000B18E5"/>
    <w:rsid w:val="000B33E2"/>
    <w:rsid w:val="000B580F"/>
    <w:rsid w:val="000B6337"/>
    <w:rsid w:val="000B7EF7"/>
    <w:rsid w:val="000C1360"/>
    <w:rsid w:val="000C3BA3"/>
    <w:rsid w:val="000C5925"/>
    <w:rsid w:val="000C635E"/>
    <w:rsid w:val="000D0E14"/>
    <w:rsid w:val="000D109B"/>
    <w:rsid w:val="000D471D"/>
    <w:rsid w:val="000D7C0C"/>
    <w:rsid w:val="000D7D46"/>
    <w:rsid w:val="000E0F1E"/>
    <w:rsid w:val="000E2686"/>
    <w:rsid w:val="000E323B"/>
    <w:rsid w:val="000E5F98"/>
    <w:rsid w:val="000E6B87"/>
    <w:rsid w:val="000E71ED"/>
    <w:rsid w:val="000E7409"/>
    <w:rsid w:val="000F0F87"/>
    <w:rsid w:val="000F2DD6"/>
    <w:rsid w:val="000F5485"/>
    <w:rsid w:val="000F617F"/>
    <w:rsid w:val="000F6268"/>
    <w:rsid w:val="000F629E"/>
    <w:rsid w:val="000F6EBA"/>
    <w:rsid w:val="000F76BF"/>
    <w:rsid w:val="00100026"/>
    <w:rsid w:val="001009B5"/>
    <w:rsid w:val="001009D5"/>
    <w:rsid w:val="00100FC6"/>
    <w:rsid w:val="00101F3F"/>
    <w:rsid w:val="001031E7"/>
    <w:rsid w:val="00104D53"/>
    <w:rsid w:val="00107525"/>
    <w:rsid w:val="00107D3B"/>
    <w:rsid w:val="001103B3"/>
    <w:rsid w:val="00112028"/>
    <w:rsid w:val="00112375"/>
    <w:rsid w:val="00114CDF"/>
    <w:rsid w:val="00122657"/>
    <w:rsid w:val="001239F9"/>
    <w:rsid w:val="00125A06"/>
    <w:rsid w:val="00130CD7"/>
    <w:rsid w:val="00130D52"/>
    <w:rsid w:val="001344AB"/>
    <w:rsid w:val="00135DB9"/>
    <w:rsid w:val="001365AD"/>
    <w:rsid w:val="0014080C"/>
    <w:rsid w:val="00144977"/>
    <w:rsid w:val="0014585E"/>
    <w:rsid w:val="0014598A"/>
    <w:rsid w:val="0014671D"/>
    <w:rsid w:val="001501B2"/>
    <w:rsid w:val="0015074B"/>
    <w:rsid w:val="00152739"/>
    <w:rsid w:val="001536E3"/>
    <w:rsid w:val="0015558C"/>
    <w:rsid w:val="0015633B"/>
    <w:rsid w:val="00156525"/>
    <w:rsid w:val="00156EA6"/>
    <w:rsid w:val="00156FA6"/>
    <w:rsid w:val="00157E1D"/>
    <w:rsid w:val="001641C1"/>
    <w:rsid w:val="00164AAF"/>
    <w:rsid w:val="00167BBC"/>
    <w:rsid w:val="001704C9"/>
    <w:rsid w:val="001725DE"/>
    <w:rsid w:val="00172624"/>
    <w:rsid w:val="0017356B"/>
    <w:rsid w:val="0017436A"/>
    <w:rsid w:val="001820B8"/>
    <w:rsid w:val="001843A8"/>
    <w:rsid w:val="00185E8D"/>
    <w:rsid w:val="00192153"/>
    <w:rsid w:val="0019579F"/>
    <w:rsid w:val="00197648"/>
    <w:rsid w:val="001A01E2"/>
    <w:rsid w:val="001A0B38"/>
    <w:rsid w:val="001A107D"/>
    <w:rsid w:val="001A163D"/>
    <w:rsid w:val="001A3227"/>
    <w:rsid w:val="001A330F"/>
    <w:rsid w:val="001A3F2D"/>
    <w:rsid w:val="001A74DB"/>
    <w:rsid w:val="001B390B"/>
    <w:rsid w:val="001B3BEE"/>
    <w:rsid w:val="001B42D7"/>
    <w:rsid w:val="001B4E61"/>
    <w:rsid w:val="001B51EB"/>
    <w:rsid w:val="001B59C9"/>
    <w:rsid w:val="001B5FC3"/>
    <w:rsid w:val="001B6637"/>
    <w:rsid w:val="001B678A"/>
    <w:rsid w:val="001C1F44"/>
    <w:rsid w:val="001C5212"/>
    <w:rsid w:val="001C62FA"/>
    <w:rsid w:val="001C7C3B"/>
    <w:rsid w:val="001D231D"/>
    <w:rsid w:val="001D44E0"/>
    <w:rsid w:val="001D4921"/>
    <w:rsid w:val="001D64F8"/>
    <w:rsid w:val="001E52C8"/>
    <w:rsid w:val="001E67C6"/>
    <w:rsid w:val="001F140C"/>
    <w:rsid w:val="001F1B1B"/>
    <w:rsid w:val="001F26D9"/>
    <w:rsid w:val="001F3B66"/>
    <w:rsid w:val="001F3DEC"/>
    <w:rsid w:val="001F4B7B"/>
    <w:rsid w:val="001F56B2"/>
    <w:rsid w:val="001F6549"/>
    <w:rsid w:val="001F6A9E"/>
    <w:rsid w:val="001F71B6"/>
    <w:rsid w:val="0020010A"/>
    <w:rsid w:val="00202E74"/>
    <w:rsid w:val="00204F0C"/>
    <w:rsid w:val="002075E7"/>
    <w:rsid w:val="002121C4"/>
    <w:rsid w:val="00214247"/>
    <w:rsid w:val="0021598B"/>
    <w:rsid w:val="00222F74"/>
    <w:rsid w:val="00223A32"/>
    <w:rsid w:val="00223BF3"/>
    <w:rsid w:val="00225CDD"/>
    <w:rsid w:val="0022620A"/>
    <w:rsid w:val="00227135"/>
    <w:rsid w:val="002274D6"/>
    <w:rsid w:val="00227FDF"/>
    <w:rsid w:val="002316F2"/>
    <w:rsid w:val="00231BF0"/>
    <w:rsid w:val="00233C82"/>
    <w:rsid w:val="00235EFC"/>
    <w:rsid w:val="0023683F"/>
    <w:rsid w:val="00236F4B"/>
    <w:rsid w:val="002370FE"/>
    <w:rsid w:val="00242EBE"/>
    <w:rsid w:val="00243DF0"/>
    <w:rsid w:val="00246FD2"/>
    <w:rsid w:val="0025208C"/>
    <w:rsid w:val="00252139"/>
    <w:rsid w:val="0025217F"/>
    <w:rsid w:val="0025388D"/>
    <w:rsid w:val="00261CF9"/>
    <w:rsid w:val="00262DD8"/>
    <w:rsid w:val="00263CCF"/>
    <w:rsid w:val="00263E1A"/>
    <w:rsid w:val="00264C15"/>
    <w:rsid w:val="0026766A"/>
    <w:rsid w:val="00273046"/>
    <w:rsid w:val="00277EB3"/>
    <w:rsid w:val="00280264"/>
    <w:rsid w:val="00281687"/>
    <w:rsid w:val="00281AD9"/>
    <w:rsid w:val="00283414"/>
    <w:rsid w:val="00283B14"/>
    <w:rsid w:val="00285CF4"/>
    <w:rsid w:val="00286718"/>
    <w:rsid w:val="0028691E"/>
    <w:rsid w:val="002942CE"/>
    <w:rsid w:val="0029581B"/>
    <w:rsid w:val="0029639D"/>
    <w:rsid w:val="00296595"/>
    <w:rsid w:val="00297561"/>
    <w:rsid w:val="002976AE"/>
    <w:rsid w:val="002A017C"/>
    <w:rsid w:val="002A0699"/>
    <w:rsid w:val="002A1538"/>
    <w:rsid w:val="002A24F9"/>
    <w:rsid w:val="002A30DB"/>
    <w:rsid w:val="002A3396"/>
    <w:rsid w:val="002A3D1C"/>
    <w:rsid w:val="002A46E3"/>
    <w:rsid w:val="002A48F7"/>
    <w:rsid w:val="002A54E5"/>
    <w:rsid w:val="002A6488"/>
    <w:rsid w:val="002A7E31"/>
    <w:rsid w:val="002B0099"/>
    <w:rsid w:val="002B5FCD"/>
    <w:rsid w:val="002B7910"/>
    <w:rsid w:val="002C044C"/>
    <w:rsid w:val="002C0DD4"/>
    <w:rsid w:val="002C1BAB"/>
    <w:rsid w:val="002C2C9F"/>
    <w:rsid w:val="002C3F8E"/>
    <w:rsid w:val="002C4357"/>
    <w:rsid w:val="002C444C"/>
    <w:rsid w:val="002C4BAD"/>
    <w:rsid w:val="002C57F4"/>
    <w:rsid w:val="002C5E3A"/>
    <w:rsid w:val="002D3372"/>
    <w:rsid w:val="002D4DD2"/>
    <w:rsid w:val="002D53CA"/>
    <w:rsid w:val="002D6BCD"/>
    <w:rsid w:val="002D70EC"/>
    <w:rsid w:val="002D77FB"/>
    <w:rsid w:val="002E18AD"/>
    <w:rsid w:val="002E2C0D"/>
    <w:rsid w:val="002E2FC9"/>
    <w:rsid w:val="002E3070"/>
    <w:rsid w:val="002E38D8"/>
    <w:rsid w:val="002E4245"/>
    <w:rsid w:val="002E6402"/>
    <w:rsid w:val="002F1B1F"/>
    <w:rsid w:val="002F2A50"/>
    <w:rsid w:val="002F5EE4"/>
    <w:rsid w:val="002F641C"/>
    <w:rsid w:val="00302BFB"/>
    <w:rsid w:val="00302D24"/>
    <w:rsid w:val="0030435E"/>
    <w:rsid w:val="00305426"/>
    <w:rsid w:val="003058C9"/>
    <w:rsid w:val="003059CB"/>
    <w:rsid w:val="00306980"/>
    <w:rsid w:val="00307A43"/>
    <w:rsid w:val="00310A64"/>
    <w:rsid w:val="00312792"/>
    <w:rsid w:val="00317B55"/>
    <w:rsid w:val="003212E8"/>
    <w:rsid w:val="00323C3D"/>
    <w:rsid w:val="00325568"/>
    <w:rsid w:val="00326009"/>
    <w:rsid w:val="00326F90"/>
    <w:rsid w:val="00330B0F"/>
    <w:rsid w:val="003338D2"/>
    <w:rsid w:val="003345ED"/>
    <w:rsid w:val="003430F4"/>
    <w:rsid w:val="003440B0"/>
    <w:rsid w:val="003507DE"/>
    <w:rsid w:val="00350B6E"/>
    <w:rsid w:val="00351CB4"/>
    <w:rsid w:val="00352892"/>
    <w:rsid w:val="00355157"/>
    <w:rsid w:val="00356230"/>
    <w:rsid w:val="00356B51"/>
    <w:rsid w:val="00362805"/>
    <w:rsid w:val="003629C6"/>
    <w:rsid w:val="00366363"/>
    <w:rsid w:val="00367D12"/>
    <w:rsid w:val="00370BFC"/>
    <w:rsid w:val="00371335"/>
    <w:rsid w:val="00372BEA"/>
    <w:rsid w:val="00373F21"/>
    <w:rsid w:val="00374022"/>
    <w:rsid w:val="00374502"/>
    <w:rsid w:val="00374ACE"/>
    <w:rsid w:val="003757F7"/>
    <w:rsid w:val="00383034"/>
    <w:rsid w:val="00383FCD"/>
    <w:rsid w:val="003904F1"/>
    <w:rsid w:val="003914AA"/>
    <w:rsid w:val="003916EC"/>
    <w:rsid w:val="00394312"/>
    <w:rsid w:val="003A080A"/>
    <w:rsid w:val="003A0A29"/>
    <w:rsid w:val="003A2071"/>
    <w:rsid w:val="003A3390"/>
    <w:rsid w:val="003A5330"/>
    <w:rsid w:val="003B380B"/>
    <w:rsid w:val="003B3982"/>
    <w:rsid w:val="003B57DB"/>
    <w:rsid w:val="003B5DA8"/>
    <w:rsid w:val="003B6EA5"/>
    <w:rsid w:val="003C0F2F"/>
    <w:rsid w:val="003C1F94"/>
    <w:rsid w:val="003C2038"/>
    <w:rsid w:val="003C3CD8"/>
    <w:rsid w:val="003C4648"/>
    <w:rsid w:val="003C589F"/>
    <w:rsid w:val="003C5C2D"/>
    <w:rsid w:val="003C7AE1"/>
    <w:rsid w:val="003C7C57"/>
    <w:rsid w:val="003D25EB"/>
    <w:rsid w:val="003D272C"/>
    <w:rsid w:val="003D3BD0"/>
    <w:rsid w:val="003D4C3F"/>
    <w:rsid w:val="003D6AAC"/>
    <w:rsid w:val="003D7521"/>
    <w:rsid w:val="003E2266"/>
    <w:rsid w:val="003E4F11"/>
    <w:rsid w:val="003E53DF"/>
    <w:rsid w:val="003E776F"/>
    <w:rsid w:val="003F02CF"/>
    <w:rsid w:val="003F0D2F"/>
    <w:rsid w:val="003F2D3D"/>
    <w:rsid w:val="003F32DE"/>
    <w:rsid w:val="003F5185"/>
    <w:rsid w:val="00404097"/>
    <w:rsid w:val="0040671C"/>
    <w:rsid w:val="00412C1C"/>
    <w:rsid w:val="00415E62"/>
    <w:rsid w:val="00416518"/>
    <w:rsid w:val="004167A1"/>
    <w:rsid w:val="00420A57"/>
    <w:rsid w:val="00420BB4"/>
    <w:rsid w:val="00421D19"/>
    <w:rsid w:val="00424D9F"/>
    <w:rsid w:val="0042570B"/>
    <w:rsid w:val="00425A40"/>
    <w:rsid w:val="00431B36"/>
    <w:rsid w:val="00433063"/>
    <w:rsid w:val="0043393B"/>
    <w:rsid w:val="00434A0E"/>
    <w:rsid w:val="004371B1"/>
    <w:rsid w:val="0043787B"/>
    <w:rsid w:val="004379B1"/>
    <w:rsid w:val="00437B37"/>
    <w:rsid w:val="00441CAF"/>
    <w:rsid w:val="00441D3A"/>
    <w:rsid w:val="00444238"/>
    <w:rsid w:val="004508CA"/>
    <w:rsid w:val="0045125E"/>
    <w:rsid w:val="00451A37"/>
    <w:rsid w:val="0045276E"/>
    <w:rsid w:val="00452D39"/>
    <w:rsid w:val="00457362"/>
    <w:rsid w:val="004611A7"/>
    <w:rsid w:val="00471313"/>
    <w:rsid w:val="00472A9D"/>
    <w:rsid w:val="00474F46"/>
    <w:rsid w:val="0047671B"/>
    <w:rsid w:val="00477D8A"/>
    <w:rsid w:val="00481944"/>
    <w:rsid w:val="00484E07"/>
    <w:rsid w:val="00485BAE"/>
    <w:rsid w:val="004971E7"/>
    <w:rsid w:val="004A1372"/>
    <w:rsid w:val="004A2824"/>
    <w:rsid w:val="004A3501"/>
    <w:rsid w:val="004A6BAC"/>
    <w:rsid w:val="004A71E2"/>
    <w:rsid w:val="004B05F8"/>
    <w:rsid w:val="004B2112"/>
    <w:rsid w:val="004B3ED4"/>
    <w:rsid w:val="004B7170"/>
    <w:rsid w:val="004B7A01"/>
    <w:rsid w:val="004C00D2"/>
    <w:rsid w:val="004C0459"/>
    <w:rsid w:val="004C2507"/>
    <w:rsid w:val="004C3979"/>
    <w:rsid w:val="004C6489"/>
    <w:rsid w:val="004D032E"/>
    <w:rsid w:val="004D35DB"/>
    <w:rsid w:val="004D3C73"/>
    <w:rsid w:val="004D3FAB"/>
    <w:rsid w:val="004D47CF"/>
    <w:rsid w:val="004D5646"/>
    <w:rsid w:val="004E13DE"/>
    <w:rsid w:val="004E53D7"/>
    <w:rsid w:val="004E6EAD"/>
    <w:rsid w:val="004F1A05"/>
    <w:rsid w:val="004F3029"/>
    <w:rsid w:val="004F37AF"/>
    <w:rsid w:val="004F40FC"/>
    <w:rsid w:val="004F7D91"/>
    <w:rsid w:val="005015DD"/>
    <w:rsid w:val="00502539"/>
    <w:rsid w:val="00502F26"/>
    <w:rsid w:val="00504F7C"/>
    <w:rsid w:val="00505713"/>
    <w:rsid w:val="00506A30"/>
    <w:rsid w:val="00506F5E"/>
    <w:rsid w:val="00513297"/>
    <w:rsid w:val="00513771"/>
    <w:rsid w:val="0051743E"/>
    <w:rsid w:val="00520DA5"/>
    <w:rsid w:val="00522581"/>
    <w:rsid w:val="005234D0"/>
    <w:rsid w:val="005249A2"/>
    <w:rsid w:val="00525CA6"/>
    <w:rsid w:val="00525FBB"/>
    <w:rsid w:val="00527197"/>
    <w:rsid w:val="0053434F"/>
    <w:rsid w:val="00536833"/>
    <w:rsid w:val="00540793"/>
    <w:rsid w:val="0054101E"/>
    <w:rsid w:val="005423C7"/>
    <w:rsid w:val="00543B17"/>
    <w:rsid w:val="005443E9"/>
    <w:rsid w:val="00544485"/>
    <w:rsid w:val="005464D4"/>
    <w:rsid w:val="00546BE8"/>
    <w:rsid w:val="00551309"/>
    <w:rsid w:val="00552754"/>
    <w:rsid w:val="00552CCB"/>
    <w:rsid w:val="00560005"/>
    <w:rsid w:val="0056045F"/>
    <w:rsid w:val="005604E3"/>
    <w:rsid w:val="005612E3"/>
    <w:rsid w:val="00562081"/>
    <w:rsid w:val="00563E89"/>
    <w:rsid w:val="00567784"/>
    <w:rsid w:val="00567C35"/>
    <w:rsid w:val="00567F84"/>
    <w:rsid w:val="005719A7"/>
    <w:rsid w:val="005774DB"/>
    <w:rsid w:val="00580E6D"/>
    <w:rsid w:val="00582622"/>
    <w:rsid w:val="00584B25"/>
    <w:rsid w:val="00585DB3"/>
    <w:rsid w:val="0058653B"/>
    <w:rsid w:val="00586A8F"/>
    <w:rsid w:val="00586F43"/>
    <w:rsid w:val="00590E5B"/>
    <w:rsid w:val="00591F74"/>
    <w:rsid w:val="00597927"/>
    <w:rsid w:val="005A0109"/>
    <w:rsid w:val="005A2568"/>
    <w:rsid w:val="005A375A"/>
    <w:rsid w:val="005A3E48"/>
    <w:rsid w:val="005A40E7"/>
    <w:rsid w:val="005A63D0"/>
    <w:rsid w:val="005A6E94"/>
    <w:rsid w:val="005A78D3"/>
    <w:rsid w:val="005B0237"/>
    <w:rsid w:val="005B0484"/>
    <w:rsid w:val="005B0905"/>
    <w:rsid w:val="005C0060"/>
    <w:rsid w:val="005C0A29"/>
    <w:rsid w:val="005C1FD8"/>
    <w:rsid w:val="005C348C"/>
    <w:rsid w:val="005C378C"/>
    <w:rsid w:val="005C39FC"/>
    <w:rsid w:val="005C3EBE"/>
    <w:rsid w:val="005C4925"/>
    <w:rsid w:val="005C61C8"/>
    <w:rsid w:val="005C7DB3"/>
    <w:rsid w:val="005D04B5"/>
    <w:rsid w:val="005D6246"/>
    <w:rsid w:val="005D62F1"/>
    <w:rsid w:val="005E03EC"/>
    <w:rsid w:val="005E0521"/>
    <w:rsid w:val="005E0B87"/>
    <w:rsid w:val="005E1441"/>
    <w:rsid w:val="005E36E8"/>
    <w:rsid w:val="005E458C"/>
    <w:rsid w:val="005E46A4"/>
    <w:rsid w:val="005E64C9"/>
    <w:rsid w:val="005E68F6"/>
    <w:rsid w:val="005F3F89"/>
    <w:rsid w:val="005F49CF"/>
    <w:rsid w:val="005F5799"/>
    <w:rsid w:val="005F7314"/>
    <w:rsid w:val="005F73D4"/>
    <w:rsid w:val="00602183"/>
    <w:rsid w:val="006021FE"/>
    <w:rsid w:val="0060632D"/>
    <w:rsid w:val="0060739A"/>
    <w:rsid w:val="006074BB"/>
    <w:rsid w:val="00610757"/>
    <w:rsid w:val="00610E6F"/>
    <w:rsid w:val="00610E86"/>
    <w:rsid w:val="006116C6"/>
    <w:rsid w:val="006120CE"/>
    <w:rsid w:val="0061466F"/>
    <w:rsid w:val="00615BB0"/>
    <w:rsid w:val="00621BE6"/>
    <w:rsid w:val="00621D24"/>
    <w:rsid w:val="0062597A"/>
    <w:rsid w:val="00626D3E"/>
    <w:rsid w:val="00626EF3"/>
    <w:rsid w:val="00630175"/>
    <w:rsid w:val="00630E26"/>
    <w:rsid w:val="006311AC"/>
    <w:rsid w:val="00633205"/>
    <w:rsid w:val="006333DF"/>
    <w:rsid w:val="00633596"/>
    <w:rsid w:val="00635C68"/>
    <w:rsid w:val="0063608D"/>
    <w:rsid w:val="00636290"/>
    <w:rsid w:val="00636327"/>
    <w:rsid w:val="006368DC"/>
    <w:rsid w:val="00637351"/>
    <w:rsid w:val="00640A08"/>
    <w:rsid w:val="00641D62"/>
    <w:rsid w:val="00642330"/>
    <w:rsid w:val="0064346E"/>
    <w:rsid w:val="00646CD8"/>
    <w:rsid w:val="006472FB"/>
    <w:rsid w:val="00650F9F"/>
    <w:rsid w:val="00652B55"/>
    <w:rsid w:val="00654038"/>
    <w:rsid w:val="0065537D"/>
    <w:rsid w:val="006570DD"/>
    <w:rsid w:val="006571BB"/>
    <w:rsid w:val="00660CAD"/>
    <w:rsid w:val="0066250E"/>
    <w:rsid w:val="0066399A"/>
    <w:rsid w:val="00665B6C"/>
    <w:rsid w:val="00665F28"/>
    <w:rsid w:val="006669B1"/>
    <w:rsid w:val="00667B66"/>
    <w:rsid w:val="00673986"/>
    <w:rsid w:val="006749D2"/>
    <w:rsid w:val="00674A4D"/>
    <w:rsid w:val="00682BDB"/>
    <w:rsid w:val="00684E97"/>
    <w:rsid w:val="00686A84"/>
    <w:rsid w:val="0069017C"/>
    <w:rsid w:val="006912E7"/>
    <w:rsid w:val="00691380"/>
    <w:rsid w:val="006919C5"/>
    <w:rsid w:val="006929C5"/>
    <w:rsid w:val="0069538D"/>
    <w:rsid w:val="00695ED1"/>
    <w:rsid w:val="006967A8"/>
    <w:rsid w:val="006967FD"/>
    <w:rsid w:val="00696836"/>
    <w:rsid w:val="00696AA8"/>
    <w:rsid w:val="006A4C7A"/>
    <w:rsid w:val="006A4F4E"/>
    <w:rsid w:val="006A52E8"/>
    <w:rsid w:val="006A56C3"/>
    <w:rsid w:val="006A6BB3"/>
    <w:rsid w:val="006A6E4E"/>
    <w:rsid w:val="006A7340"/>
    <w:rsid w:val="006B3A41"/>
    <w:rsid w:val="006B4A92"/>
    <w:rsid w:val="006B5181"/>
    <w:rsid w:val="006C027E"/>
    <w:rsid w:val="006C2775"/>
    <w:rsid w:val="006C5445"/>
    <w:rsid w:val="006C5A54"/>
    <w:rsid w:val="006D1D03"/>
    <w:rsid w:val="006E04B1"/>
    <w:rsid w:val="006E08D6"/>
    <w:rsid w:val="006E2D85"/>
    <w:rsid w:val="006E3DE6"/>
    <w:rsid w:val="006E7F17"/>
    <w:rsid w:val="006F02B9"/>
    <w:rsid w:val="006F042C"/>
    <w:rsid w:val="006F4E2A"/>
    <w:rsid w:val="006F7544"/>
    <w:rsid w:val="0070189D"/>
    <w:rsid w:val="00702B4F"/>
    <w:rsid w:val="00703408"/>
    <w:rsid w:val="007034C5"/>
    <w:rsid w:val="00704F69"/>
    <w:rsid w:val="00705D92"/>
    <w:rsid w:val="007060AC"/>
    <w:rsid w:val="00712235"/>
    <w:rsid w:val="00714D5D"/>
    <w:rsid w:val="00715596"/>
    <w:rsid w:val="00716048"/>
    <w:rsid w:val="00721542"/>
    <w:rsid w:val="00722E54"/>
    <w:rsid w:val="00723DBA"/>
    <w:rsid w:val="00725EA1"/>
    <w:rsid w:val="00730AD0"/>
    <w:rsid w:val="00731747"/>
    <w:rsid w:val="00732B07"/>
    <w:rsid w:val="00732C65"/>
    <w:rsid w:val="00735630"/>
    <w:rsid w:val="00740FCC"/>
    <w:rsid w:val="00741396"/>
    <w:rsid w:val="00742105"/>
    <w:rsid w:val="007421C2"/>
    <w:rsid w:val="007431E8"/>
    <w:rsid w:val="007432AF"/>
    <w:rsid w:val="00743E49"/>
    <w:rsid w:val="00744AF1"/>
    <w:rsid w:val="00744EDB"/>
    <w:rsid w:val="00745115"/>
    <w:rsid w:val="0074537F"/>
    <w:rsid w:val="00750D9B"/>
    <w:rsid w:val="0075128E"/>
    <w:rsid w:val="00751A3D"/>
    <w:rsid w:val="007528F2"/>
    <w:rsid w:val="007610FC"/>
    <w:rsid w:val="00761CC2"/>
    <w:rsid w:val="00763E08"/>
    <w:rsid w:val="007651B3"/>
    <w:rsid w:val="00767F55"/>
    <w:rsid w:val="00767FC3"/>
    <w:rsid w:val="00775174"/>
    <w:rsid w:val="007758F9"/>
    <w:rsid w:val="00776C60"/>
    <w:rsid w:val="00783B10"/>
    <w:rsid w:val="007841D9"/>
    <w:rsid w:val="007866F0"/>
    <w:rsid w:val="0079170A"/>
    <w:rsid w:val="00792031"/>
    <w:rsid w:val="00792499"/>
    <w:rsid w:val="00796CE4"/>
    <w:rsid w:val="00796F7B"/>
    <w:rsid w:val="007974A1"/>
    <w:rsid w:val="007A0053"/>
    <w:rsid w:val="007A0253"/>
    <w:rsid w:val="007A53F8"/>
    <w:rsid w:val="007A7F87"/>
    <w:rsid w:val="007B7DCB"/>
    <w:rsid w:val="007C0175"/>
    <w:rsid w:val="007C1703"/>
    <w:rsid w:val="007C2486"/>
    <w:rsid w:val="007C2DE7"/>
    <w:rsid w:val="007C35CF"/>
    <w:rsid w:val="007C3D2C"/>
    <w:rsid w:val="007C6504"/>
    <w:rsid w:val="007C7592"/>
    <w:rsid w:val="007C7EA2"/>
    <w:rsid w:val="007D030D"/>
    <w:rsid w:val="007D1757"/>
    <w:rsid w:val="007D447A"/>
    <w:rsid w:val="007D76AE"/>
    <w:rsid w:val="007E0E89"/>
    <w:rsid w:val="007E1B12"/>
    <w:rsid w:val="007E3FE0"/>
    <w:rsid w:val="007E463D"/>
    <w:rsid w:val="007E5956"/>
    <w:rsid w:val="007F338F"/>
    <w:rsid w:val="007F3A33"/>
    <w:rsid w:val="007F6D71"/>
    <w:rsid w:val="007F7A3C"/>
    <w:rsid w:val="008034DC"/>
    <w:rsid w:val="0080641C"/>
    <w:rsid w:val="008072DE"/>
    <w:rsid w:val="00807F26"/>
    <w:rsid w:val="00810172"/>
    <w:rsid w:val="00811FEB"/>
    <w:rsid w:val="00816AD1"/>
    <w:rsid w:val="008175CF"/>
    <w:rsid w:val="00817BBA"/>
    <w:rsid w:val="00822E7B"/>
    <w:rsid w:val="0082328C"/>
    <w:rsid w:val="008279CB"/>
    <w:rsid w:val="00830998"/>
    <w:rsid w:val="00831B1D"/>
    <w:rsid w:val="00831D7A"/>
    <w:rsid w:val="00833D5E"/>
    <w:rsid w:val="0083764C"/>
    <w:rsid w:val="00837D42"/>
    <w:rsid w:val="00840381"/>
    <w:rsid w:val="00841BBA"/>
    <w:rsid w:val="0084262E"/>
    <w:rsid w:val="00842946"/>
    <w:rsid w:val="00842C77"/>
    <w:rsid w:val="00844F75"/>
    <w:rsid w:val="0085229C"/>
    <w:rsid w:val="008524D9"/>
    <w:rsid w:val="008530B3"/>
    <w:rsid w:val="008548CD"/>
    <w:rsid w:val="00855774"/>
    <w:rsid w:val="008623FE"/>
    <w:rsid w:val="008644A7"/>
    <w:rsid w:val="00870CF7"/>
    <w:rsid w:val="00873592"/>
    <w:rsid w:val="00874BD7"/>
    <w:rsid w:val="00877307"/>
    <w:rsid w:val="008773A2"/>
    <w:rsid w:val="00877816"/>
    <w:rsid w:val="00877E6C"/>
    <w:rsid w:val="0088189B"/>
    <w:rsid w:val="00882209"/>
    <w:rsid w:val="00883E06"/>
    <w:rsid w:val="00886800"/>
    <w:rsid w:val="008908B4"/>
    <w:rsid w:val="00892772"/>
    <w:rsid w:val="008929A5"/>
    <w:rsid w:val="00892F53"/>
    <w:rsid w:val="00894068"/>
    <w:rsid w:val="00895A17"/>
    <w:rsid w:val="0089619F"/>
    <w:rsid w:val="00896E4A"/>
    <w:rsid w:val="00897F98"/>
    <w:rsid w:val="008A10BC"/>
    <w:rsid w:val="008A1B23"/>
    <w:rsid w:val="008A22CC"/>
    <w:rsid w:val="008A27C5"/>
    <w:rsid w:val="008A34C5"/>
    <w:rsid w:val="008A3606"/>
    <w:rsid w:val="008A4066"/>
    <w:rsid w:val="008B0DB2"/>
    <w:rsid w:val="008B1D1C"/>
    <w:rsid w:val="008B5AED"/>
    <w:rsid w:val="008B5C46"/>
    <w:rsid w:val="008B7316"/>
    <w:rsid w:val="008C23FD"/>
    <w:rsid w:val="008C4654"/>
    <w:rsid w:val="008C4E1E"/>
    <w:rsid w:val="008C4EA5"/>
    <w:rsid w:val="008C52F9"/>
    <w:rsid w:val="008C6224"/>
    <w:rsid w:val="008C6704"/>
    <w:rsid w:val="008C6E71"/>
    <w:rsid w:val="008D25C5"/>
    <w:rsid w:val="008D3E3B"/>
    <w:rsid w:val="008D6C4D"/>
    <w:rsid w:val="008E0A35"/>
    <w:rsid w:val="008F0395"/>
    <w:rsid w:val="008F05C0"/>
    <w:rsid w:val="008F1B58"/>
    <w:rsid w:val="008F1DE2"/>
    <w:rsid w:val="008F2719"/>
    <w:rsid w:val="008F3ABA"/>
    <w:rsid w:val="008F46D1"/>
    <w:rsid w:val="008F537C"/>
    <w:rsid w:val="008F6862"/>
    <w:rsid w:val="00901C4E"/>
    <w:rsid w:val="00905BFC"/>
    <w:rsid w:val="00911523"/>
    <w:rsid w:val="009141D6"/>
    <w:rsid w:val="0091559C"/>
    <w:rsid w:val="009163D0"/>
    <w:rsid w:val="009167DD"/>
    <w:rsid w:val="00922BA0"/>
    <w:rsid w:val="00925380"/>
    <w:rsid w:val="00926278"/>
    <w:rsid w:val="00932318"/>
    <w:rsid w:val="009335C4"/>
    <w:rsid w:val="009343F5"/>
    <w:rsid w:val="00940E7F"/>
    <w:rsid w:val="00944302"/>
    <w:rsid w:val="009462A8"/>
    <w:rsid w:val="00950A05"/>
    <w:rsid w:val="009510EE"/>
    <w:rsid w:val="009525C0"/>
    <w:rsid w:val="00952D82"/>
    <w:rsid w:val="009534E5"/>
    <w:rsid w:val="00953A32"/>
    <w:rsid w:val="00954D58"/>
    <w:rsid w:val="00956439"/>
    <w:rsid w:val="00957BB4"/>
    <w:rsid w:val="00957F58"/>
    <w:rsid w:val="0096072B"/>
    <w:rsid w:val="00962DE2"/>
    <w:rsid w:val="00964038"/>
    <w:rsid w:val="009655AC"/>
    <w:rsid w:val="00966751"/>
    <w:rsid w:val="00967F75"/>
    <w:rsid w:val="0097077C"/>
    <w:rsid w:val="009715F4"/>
    <w:rsid w:val="009732F7"/>
    <w:rsid w:val="00974908"/>
    <w:rsid w:val="009774E8"/>
    <w:rsid w:val="00981545"/>
    <w:rsid w:val="00983055"/>
    <w:rsid w:val="00983C73"/>
    <w:rsid w:val="00984118"/>
    <w:rsid w:val="009843F3"/>
    <w:rsid w:val="00984FD1"/>
    <w:rsid w:val="009859D1"/>
    <w:rsid w:val="00987E5B"/>
    <w:rsid w:val="009902E4"/>
    <w:rsid w:val="00990935"/>
    <w:rsid w:val="009932DD"/>
    <w:rsid w:val="0099519F"/>
    <w:rsid w:val="009A08D9"/>
    <w:rsid w:val="009B005A"/>
    <w:rsid w:val="009B0922"/>
    <w:rsid w:val="009B09CC"/>
    <w:rsid w:val="009B3E53"/>
    <w:rsid w:val="009B4C54"/>
    <w:rsid w:val="009B6DA8"/>
    <w:rsid w:val="009B6F0E"/>
    <w:rsid w:val="009C444C"/>
    <w:rsid w:val="009C5F75"/>
    <w:rsid w:val="009C7E38"/>
    <w:rsid w:val="009D0F56"/>
    <w:rsid w:val="009D12E1"/>
    <w:rsid w:val="009D6319"/>
    <w:rsid w:val="009E3A09"/>
    <w:rsid w:val="009E426F"/>
    <w:rsid w:val="009E7364"/>
    <w:rsid w:val="009E753F"/>
    <w:rsid w:val="009F274E"/>
    <w:rsid w:val="00A00A99"/>
    <w:rsid w:val="00A0258E"/>
    <w:rsid w:val="00A0469E"/>
    <w:rsid w:val="00A04702"/>
    <w:rsid w:val="00A06744"/>
    <w:rsid w:val="00A06E55"/>
    <w:rsid w:val="00A15215"/>
    <w:rsid w:val="00A15421"/>
    <w:rsid w:val="00A15DD0"/>
    <w:rsid w:val="00A20522"/>
    <w:rsid w:val="00A21930"/>
    <w:rsid w:val="00A22B6D"/>
    <w:rsid w:val="00A2336E"/>
    <w:rsid w:val="00A26A32"/>
    <w:rsid w:val="00A34C2F"/>
    <w:rsid w:val="00A421C8"/>
    <w:rsid w:val="00A432DA"/>
    <w:rsid w:val="00A4469C"/>
    <w:rsid w:val="00A51E38"/>
    <w:rsid w:val="00A52536"/>
    <w:rsid w:val="00A5281E"/>
    <w:rsid w:val="00A52895"/>
    <w:rsid w:val="00A53FE4"/>
    <w:rsid w:val="00A57891"/>
    <w:rsid w:val="00A667F0"/>
    <w:rsid w:val="00A66FF1"/>
    <w:rsid w:val="00A70128"/>
    <w:rsid w:val="00A76850"/>
    <w:rsid w:val="00A779F7"/>
    <w:rsid w:val="00A80DE1"/>
    <w:rsid w:val="00A810CB"/>
    <w:rsid w:val="00A8160F"/>
    <w:rsid w:val="00A823DD"/>
    <w:rsid w:val="00A837E5"/>
    <w:rsid w:val="00A83D13"/>
    <w:rsid w:val="00A8606D"/>
    <w:rsid w:val="00A86609"/>
    <w:rsid w:val="00A87234"/>
    <w:rsid w:val="00A87523"/>
    <w:rsid w:val="00A916EA"/>
    <w:rsid w:val="00A95B4D"/>
    <w:rsid w:val="00AA1D8D"/>
    <w:rsid w:val="00AA1E62"/>
    <w:rsid w:val="00AA425C"/>
    <w:rsid w:val="00AA42A6"/>
    <w:rsid w:val="00AA533C"/>
    <w:rsid w:val="00AC06D0"/>
    <w:rsid w:val="00AC4BF0"/>
    <w:rsid w:val="00AC4C6C"/>
    <w:rsid w:val="00AC53A7"/>
    <w:rsid w:val="00AC675C"/>
    <w:rsid w:val="00AC7E74"/>
    <w:rsid w:val="00AD0466"/>
    <w:rsid w:val="00AD32C8"/>
    <w:rsid w:val="00AD39A3"/>
    <w:rsid w:val="00AD3ACB"/>
    <w:rsid w:val="00AD5F06"/>
    <w:rsid w:val="00AD7D3E"/>
    <w:rsid w:val="00AE06DF"/>
    <w:rsid w:val="00AE1722"/>
    <w:rsid w:val="00AE1F94"/>
    <w:rsid w:val="00AE2A1D"/>
    <w:rsid w:val="00AE403F"/>
    <w:rsid w:val="00AE532D"/>
    <w:rsid w:val="00AF02F8"/>
    <w:rsid w:val="00AF0E7F"/>
    <w:rsid w:val="00AF1C9A"/>
    <w:rsid w:val="00AF29EE"/>
    <w:rsid w:val="00AF4FD3"/>
    <w:rsid w:val="00AF610F"/>
    <w:rsid w:val="00AF6F7E"/>
    <w:rsid w:val="00AF71CF"/>
    <w:rsid w:val="00AF73B1"/>
    <w:rsid w:val="00B00036"/>
    <w:rsid w:val="00B00D4E"/>
    <w:rsid w:val="00B011FA"/>
    <w:rsid w:val="00B0213F"/>
    <w:rsid w:val="00B02390"/>
    <w:rsid w:val="00B03DCC"/>
    <w:rsid w:val="00B044D5"/>
    <w:rsid w:val="00B07853"/>
    <w:rsid w:val="00B1066F"/>
    <w:rsid w:val="00B128E4"/>
    <w:rsid w:val="00B1346D"/>
    <w:rsid w:val="00B13C72"/>
    <w:rsid w:val="00B13D64"/>
    <w:rsid w:val="00B2153C"/>
    <w:rsid w:val="00B2155A"/>
    <w:rsid w:val="00B21FD6"/>
    <w:rsid w:val="00B23737"/>
    <w:rsid w:val="00B23BDE"/>
    <w:rsid w:val="00B242FE"/>
    <w:rsid w:val="00B244DB"/>
    <w:rsid w:val="00B269F0"/>
    <w:rsid w:val="00B30BC1"/>
    <w:rsid w:val="00B32497"/>
    <w:rsid w:val="00B328C2"/>
    <w:rsid w:val="00B32D77"/>
    <w:rsid w:val="00B333C7"/>
    <w:rsid w:val="00B3665C"/>
    <w:rsid w:val="00B37387"/>
    <w:rsid w:val="00B40258"/>
    <w:rsid w:val="00B41416"/>
    <w:rsid w:val="00B42B65"/>
    <w:rsid w:val="00B4468B"/>
    <w:rsid w:val="00B44C2F"/>
    <w:rsid w:val="00B459CB"/>
    <w:rsid w:val="00B472F0"/>
    <w:rsid w:val="00B476FE"/>
    <w:rsid w:val="00B47730"/>
    <w:rsid w:val="00B50AFE"/>
    <w:rsid w:val="00B5436C"/>
    <w:rsid w:val="00B54470"/>
    <w:rsid w:val="00B54C09"/>
    <w:rsid w:val="00B55545"/>
    <w:rsid w:val="00B555D6"/>
    <w:rsid w:val="00B60BBB"/>
    <w:rsid w:val="00B62DED"/>
    <w:rsid w:val="00B66584"/>
    <w:rsid w:val="00B7158D"/>
    <w:rsid w:val="00B73B1B"/>
    <w:rsid w:val="00B74DBB"/>
    <w:rsid w:val="00B77943"/>
    <w:rsid w:val="00B80FD1"/>
    <w:rsid w:val="00B81F1A"/>
    <w:rsid w:val="00B828B2"/>
    <w:rsid w:val="00B834BC"/>
    <w:rsid w:val="00B862AA"/>
    <w:rsid w:val="00B86CA3"/>
    <w:rsid w:val="00B910A0"/>
    <w:rsid w:val="00B92BDF"/>
    <w:rsid w:val="00B93A4A"/>
    <w:rsid w:val="00B94731"/>
    <w:rsid w:val="00B95CFA"/>
    <w:rsid w:val="00BA1B5C"/>
    <w:rsid w:val="00BA25D0"/>
    <w:rsid w:val="00BA4953"/>
    <w:rsid w:val="00BB1800"/>
    <w:rsid w:val="00BB3951"/>
    <w:rsid w:val="00BB3EC5"/>
    <w:rsid w:val="00BC3646"/>
    <w:rsid w:val="00BC3A61"/>
    <w:rsid w:val="00BD1399"/>
    <w:rsid w:val="00BD21CE"/>
    <w:rsid w:val="00BD24D0"/>
    <w:rsid w:val="00BD3D1F"/>
    <w:rsid w:val="00BD3E34"/>
    <w:rsid w:val="00BD3EF1"/>
    <w:rsid w:val="00BD444C"/>
    <w:rsid w:val="00BE0B65"/>
    <w:rsid w:val="00BE14DB"/>
    <w:rsid w:val="00BE2DE2"/>
    <w:rsid w:val="00BE3250"/>
    <w:rsid w:val="00BE46F3"/>
    <w:rsid w:val="00BE522C"/>
    <w:rsid w:val="00BE6852"/>
    <w:rsid w:val="00BF0073"/>
    <w:rsid w:val="00BF12A1"/>
    <w:rsid w:val="00BF184F"/>
    <w:rsid w:val="00BF3263"/>
    <w:rsid w:val="00BF5204"/>
    <w:rsid w:val="00BF6027"/>
    <w:rsid w:val="00BF78AE"/>
    <w:rsid w:val="00C0085E"/>
    <w:rsid w:val="00C012DE"/>
    <w:rsid w:val="00C01975"/>
    <w:rsid w:val="00C02E46"/>
    <w:rsid w:val="00C039BB"/>
    <w:rsid w:val="00C0575D"/>
    <w:rsid w:val="00C06725"/>
    <w:rsid w:val="00C0731A"/>
    <w:rsid w:val="00C15FE3"/>
    <w:rsid w:val="00C1635B"/>
    <w:rsid w:val="00C1790B"/>
    <w:rsid w:val="00C17B42"/>
    <w:rsid w:val="00C20C3D"/>
    <w:rsid w:val="00C252B1"/>
    <w:rsid w:val="00C257C0"/>
    <w:rsid w:val="00C270D5"/>
    <w:rsid w:val="00C31DEE"/>
    <w:rsid w:val="00C32794"/>
    <w:rsid w:val="00C33E88"/>
    <w:rsid w:val="00C3405D"/>
    <w:rsid w:val="00C34D60"/>
    <w:rsid w:val="00C356E6"/>
    <w:rsid w:val="00C36732"/>
    <w:rsid w:val="00C36A5A"/>
    <w:rsid w:val="00C37D02"/>
    <w:rsid w:val="00C37EF7"/>
    <w:rsid w:val="00C40487"/>
    <w:rsid w:val="00C40B8A"/>
    <w:rsid w:val="00C43BB3"/>
    <w:rsid w:val="00C44EDF"/>
    <w:rsid w:val="00C4554F"/>
    <w:rsid w:val="00C46F25"/>
    <w:rsid w:val="00C51DED"/>
    <w:rsid w:val="00C52417"/>
    <w:rsid w:val="00C52A6E"/>
    <w:rsid w:val="00C536B4"/>
    <w:rsid w:val="00C53E06"/>
    <w:rsid w:val="00C60BC8"/>
    <w:rsid w:val="00C629B5"/>
    <w:rsid w:val="00C63378"/>
    <w:rsid w:val="00C640FA"/>
    <w:rsid w:val="00C64FDF"/>
    <w:rsid w:val="00C650C8"/>
    <w:rsid w:val="00C6691E"/>
    <w:rsid w:val="00C669C6"/>
    <w:rsid w:val="00C708FB"/>
    <w:rsid w:val="00C70BC6"/>
    <w:rsid w:val="00C775D2"/>
    <w:rsid w:val="00C779DB"/>
    <w:rsid w:val="00C80FFA"/>
    <w:rsid w:val="00C81721"/>
    <w:rsid w:val="00C8185D"/>
    <w:rsid w:val="00C82F25"/>
    <w:rsid w:val="00C855BB"/>
    <w:rsid w:val="00C85C7C"/>
    <w:rsid w:val="00C868BA"/>
    <w:rsid w:val="00C869F0"/>
    <w:rsid w:val="00C8744C"/>
    <w:rsid w:val="00C87496"/>
    <w:rsid w:val="00C87595"/>
    <w:rsid w:val="00C900AD"/>
    <w:rsid w:val="00C922E3"/>
    <w:rsid w:val="00C93748"/>
    <w:rsid w:val="00C942EB"/>
    <w:rsid w:val="00CA5290"/>
    <w:rsid w:val="00CA5F98"/>
    <w:rsid w:val="00CB0664"/>
    <w:rsid w:val="00CB3F4F"/>
    <w:rsid w:val="00CB5CB2"/>
    <w:rsid w:val="00CB679C"/>
    <w:rsid w:val="00CB6C9D"/>
    <w:rsid w:val="00CC10D8"/>
    <w:rsid w:val="00CC1A1D"/>
    <w:rsid w:val="00CC3322"/>
    <w:rsid w:val="00CC3EBC"/>
    <w:rsid w:val="00CC3EE8"/>
    <w:rsid w:val="00CC3F48"/>
    <w:rsid w:val="00CC6599"/>
    <w:rsid w:val="00CC770F"/>
    <w:rsid w:val="00CD2E14"/>
    <w:rsid w:val="00CD483D"/>
    <w:rsid w:val="00CD7E78"/>
    <w:rsid w:val="00CE0388"/>
    <w:rsid w:val="00CE399B"/>
    <w:rsid w:val="00CE3EDE"/>
    <w:rsid w:val="00CE50E3"/>
    <w:rsid w:val="00CF0336"/>
    <w:rsid w:val="00CF51F0"/>
    <w:rsid w:val="00CF58F9"/>
    <w:rsid w:val="00CF5C96"/>
    <w:rsid w:val="00CF68B2"/>
    <w:rsid w:val="00CF6F0B"/>
    <w:rsid w:val="00D00AB7"/>
    <w:rsid w:val="00D011F1"/>
    <w:rsid w:val="00D018C2"/>
    <w:rsid w:val="00D04B90"/>
    <w:rsid w:val="00D04F13"/>
    <w:rsid w:val="00D0583A"/>
    <w:rsid w:val="00D05BD1"/>
    <w:rsid w:val="00D05D8F"/>
    <w:rsid w:val="00D064A4"/>
    <w:rsid w:val="00D0677D"/>
    <w:rsid w:val="00D0682A"/>
    <w:rsid w:val="00D07142"/>
    <w:rsid w:val="00D0718D"/>
    <w:rsid w:val="00D131CE"/>
    <w:rsid w:val="00D16431"/>
    <w:rsid w:val="00D16652"/>
    <w:rsid w:val="00D20969"/>
    <w:rsid w:val="00D22F6F"/>
    <w:rsid w:val="00D233F7"/>
    <w:rsid w:val="00D238EF"/>
    <w:rsid w:val="00D23A7A"/>
    <w:rsid w:val="00D23CB6"/>
    <w:rsid w:val="00D2454C"/>
    <w:rsid w:val="00D248D0"/>
    <w:rsid w:val="00D26774"/>
    <w:rsid w:val="00D27576"/>
    <w:rsid w:val="00D33796"/>
    <w:rsid w:val="00D33C87"/>
    <w:rsid w:val="00D3536B"/>
    <w:rsid w:val="00D35C63"/>
    <w:rsid w:val="00D378EB"/>
    <w:rsid w:val="00D4098E"/>
    <w:rsid w:val="00D42A60"/>
    <w:rsid w:val="00D439EC"/>
    <w:rsid w:val="00D44DA5"/>
    <w:rsid w:val="00D466B9"/>
    <w:rsid w:val="00D474A4"/>
    <w:rsid w:val="00D47BDB"/>
    <w:rsid w:val="00D503B2"/>
    <w:rsid w:val="00D51050"/>
    <w:rsid w:val="00D527CD"/>
    <w:rsid w:val="00D55D1B"/>
    <w:rsid w:val="00D57A4D"/>
    <w:rsid w:val="00D60086"/>
    <w:rsid w:val="00D61C97"/>
    <w:rsid w:val="00D61FB4"/>
    <w:rsid w:val="00D65837"/>
    <w:rsid w:val="00D6594D"/>
    <w:rsid w:val="00D7227D"/>
    <w:rsid w:val="00D75544"/>
    <w:rsid w:val="00D76ABF"/>
    <w:rsid w:val="00D77C6A"/>
    <w:rsid w:val="00D80F5C"/>
    <w:rsid w:val="00D83624"/>
    <w:rsid w:val="00D838A4"/>
    <w:rsid w:val="00D83F58"/>
    <w:rsid w:val="00D84037"/>
    <w:rsid w:val="00D85FDF"/>
    <w:rsid w:val="00D87D61"/>
    <w:rsid w:val="00D900AC"/>
    <w:rsid w:val="00D90DD7"/>
    <w:rsid w:val="00D91FB1"/>
    <w:rsid w:val="00D95776"/>
    <w:rsid w:val="00D95C70"/>
    <w:rsid w:val="00D96A1B"/>
    <w:rsid w:val="00DA0B35"/>
    <w:rsid w:val="00DA0BD5"/>
    <w:rsid w:val="00DA30CA"/>
    <w:rsid w:val="00DA4BC8"/>
    <w:rsid w:val="00DA51EC"/>
    <w:rsid w:val="00DA5FE1"/>
    <w:rsid w:val="00DA6B56"/>
    <w:rsid w:val="00DA70F6"/>
    <w:rsid w:val="00DB1799"/>
    <w:rsid w:val="00DB2A7E"/>
    <w:rsid w:val="00DB4548"/>
    <w:rsid w:val="00DB478C"/>
    <w:rsid w:val="00DC2006"/>
    <w:rsid w:val="00DC34A7"/>
    <w:rsid w:val="00DC5F8E"/>
    <w:rsid w:val="00DC78C3"/>
    <w:rsid w:val="00DD02A3"/>
    <w:rsid w:val="00DD0925"/>
    <w:rsid w:val="00DD131D"/>
    <w:rsid w:val="00DD2F24"/>
    <w:rsid w:val="00DD3FB7"/>
    <w:rsid w:val="00DD5AC0"/>
    <w:rsid w:val="00DD5F09"/>
    <w:rsid w:val="00DD613D"/>
    <w:rsid w:val="00DD7AB3"/>
    <w:rsid w:val="00DE39AA"/>
    <w:rsid w:val="00DE3F63"/>
    <w:rsid w:val="00DE44AA"/>
    <w:rsid w:val="00DE5861"/>
    <w:rsid w:val="00DE5B09"/>
    <w:rsid w:val="00DE6EF7"/>
    <w:rsid w:val="00DF35C1"/>
    <w:rsid w:val="00DF3F8C"/>
    <w:rsid w:val="00E0074E"/>
    <w:rsid w:val="00E00B61"/>
    <w:rsid w:val="00E015EC"/>
    <w:rsid w:val="00E017C8"/>
    <w:rsid w:val="00E0594E"/>
    <w:rsid w:val="00E10552"/>
    <w:rsid w:val="00E11E79"/>
    <w:rsid w:val="00E120A3"/>
    <w:rsid w:val="00E120F8"/>
    <w:rsid w:val="00E14E87"/>
    <w:rsid w:val="00E17B73"/>
    <w:rsid w:val="00E22322"/>
    <w:rsid w:val="00E227FD"/>
    <w:rsid w:val="00E2303F"/>
    <w:rsid w:val="00E24EA9"/>
    <w:rsid w:val="00E315AF"/>
    <w:rsid w:val="00E31906"/>
    <w:rsid w:val="00E323B7"/>
    <w:rsid w:val="00E33381"/>
    <w:rsid w:val="00E342C7"/>
    <w:rsid w:val="00E349AC"/>
    <w:rsid w:val="00E37912"/>
    <w:rsid w:val="00E37A82"/>
    <w:rsid w:val="00E41E01"/>
    <w:rsid w:val="00E425FA"/>
    <w:rsid w:val="00E43FA9"/>
    <w:rsid w:val="00E45659"/>
    <w:rsid w:val="00E470B4"/>
    <w:rsid w:val="00E47608"/>
    <w:rsid w:val="00E47BF4"/>
    <w:rsid w:val="00E51282"/>
    <w:rsid w:val="00E51E8C"/>
    <w:rsid w:val="00E55135"/>
    <w:rsid w:val="00E553B0"/>
    <w:rsid w:val="00E556AE"/>
    <w:rsid w:val="00E559E7"/>
    <w:rsid w:val="00E57CEA"/>
    <w:rsid w:val="00E6075B"/>
    <w:rsid w:val="00E616C3"/>
    <w:rsid w:val="00E62316"/>
    <w:rsid w:val="00E629BE"/>
    <w:rsid w:val="00E70D50"/>
    <w:rsid w:val="00E71024"/>
    <w:rsid w:val="00E737CE"/>
    <w:rsid w:val="00E75672"/>
    <w:rsid w:val="00E75796"/>
    <w:rsid w:val="00E75A27"/>
    <w:rsid w:val="00E75C3C"/>
    <w:rsid w:val="00E760EB"/>
    <w:rsid w:val="00E76C09"/>
    <w:rsid w:val="00E76DBC"/>
    <w:rsid w:val="00E7768E"/>
    <w:rsid w:val="00E77774"/>
    <w:rsid w:val="00E778D4"/>
    <w:rsid w:val="00E806BA"/>
    <w:rsid w:val="00E82855"/>
    <w:rsid w:val="00E841C1"/>
    <w:rsid w:val="00E918A1"/>
    <w:rsid w:val="00E93627"/>
    <w:rsid w:val="00E93A1D"/>
    <w:rsid w:val="00E9407F"/>
    <w:rsid w:val="00EA613E"/>
    <w:rsid w:val="00EA7C1C"/>
    <w:rsid w:val="00EB0484"/>
    <w:rsid w:val="00EB0D80"/>
    <w:rsid w:val="00EB10B5"/>
    <w:rsid w:val="00EB64BC"/>
    <w:rsid w:val="00EB7185"/>
    <w:rsid w:val="00EC0E69"/>
    <w:rsid w:val="00EC21AF"/>
    <w:rsid w:val="00EC4194"/>
    <w:rsid w:val="00EC65CD"/>
    <w:rsid w:val="00EC7278"/>
    <w:rsid w:val="00ED069E"/>
    <w:rsid w:val="00ED0AE6"/>
    <w:rsid w:val="00ED1247"/>
    <w:rsid w:val="00ED1BAE"/>
    <w:rsid w:val="00ED1E99"/>
    <w:rsid w:val="00ED31EA"/>
    <w:rsid w:val="00ED543C"/>
    <w:rsid w:val="00EE1283"/>
    <w:rsid w:val="00EE2A47"/>
    <w:rsid w:val="00EE42A1"/>
    <w:rsid w:val="00EE6C25"/>
    <w:rsid w:val="00EE6E42"/>
    <w:rsid w:val="00EE7AB9"/>
    <w:rsid w:val="00EF1AA5"/>
    <w:rsid w:val="00EF3A8A"/>
    <w:rsid w:val="00EF3F93"/>
    <w:rsid w:val="00EF4AA7"/>
    <w:rsid w:val="00EF6F7D"/>
    <w:rsid w:val="00EF7197"/>
    <w:rsid w:val="00F000DF"/>
    <w:rsid w:val="00F0074B"/>
    <w:rsid w:val="00F00FB1"/>
    <w:rsid w:val="00F01209"/>
    <w:rsid w:val="00F015D6"/>
    <w:rsid w:val="00F01C34"/>
    <w:rsid w:val="00F02991"/>
    <w:rsid w:val="00F066AF"/>
    <w:rsid w:val="00F0744C"/>
    <w:rsid w:val="00F07CBB"/>
    <w:rsid w:val="00F13B97"/>
    <w:rsid w:val="00F15961"/>
    <w:rsid w:val="00F17020"/>
    <w:rsid w:val="00F22C52"/>
    <w:rsid w:val="00F23040"/>
    <w:rsid w:val="00F238B9"/>
    <w:rsid w:val="00F27D66"/>
    <w:rsid w:val="00F35409"/>
    <w:rsid w:val="00F374EF"/>
    <w:rsid w:val="00F41C32"/>
    <w:rsid w:val="00F43405"/>
    <w:rsid w:val="00F4367D"/>
    <w:rsid w:val="00F4483D"/>
    <w:rsid w:val="00F46D4A"/>
    <w:rsid w:val="00F52426"/>
    <w:rsid w:val="00F52A12"/>
    <w:rsid w:val="00F5353B"/>
    <w:rsid w:val="00F54814"/>
    <w:rsid w:val="00F568AE"/>
    <w:rsid w:val="00F5727B"/>
    <w:rsid w:val="00F574D9"/>
    <w:rsid w:val="00F57D15"/>
    <w:rsid w:val="00F60AD4"/>
    <w:rsid w:val="00F611EB"/>
    <w:rsid w:val="00F65D1A"/>
    <w:rsid w:val="00F70627"/>
    <w:rsid w:val="00F71BC2"/>
    <w:rsid w:val="00F71C2E"/>
    <w:rsid w:val="00F72DC5"/>
    <w:rsid w:val="00F73A4D"/>
    <w:rsid w:val="00F76F13"/>
    <w:rsid w:val="00F77ADB"/>
    <w:rsid w:val="00F77B23"/>
    <w:rsid w:val="00F80EE0"/>
    <w:rsid w:val="00F8100B"/>
    <w:rsid w:val="00F81FD2"/>
    <w:rsid w:val="00F84F08"/>
    <w:rsid w:val="00F9222A"/>
    <w:rsid w:val="00F934D4"/>
    <w:rsid w:val="00F97688"/>
    <w:rsid w:val="00F9780D"/>
    <w:rsid w:val="00FA129A"/>
    <w:rsid w:val="00FA178B"/>
    <w:rsid w:val="00FA2046"/>
    <w:rsid w:val="00FA269F"/>
    <w:rsid w:val="00FA2EBA"/>
    <w:rsid w:val="00FA5A40"/>
    <w:rsid w:val="00FB214F"/>
    <w:rsid w:val="00FB2FC6"/>
    <w:rsid w:val="00FB613D"/>
    <w:rsid w:val="00FB7272"/>
    <w:rsid w:val="00FC0209"/>
    <w:rsid w:val="00FC028A"/>
    <w:rsid w:val="00FC02B3"/>
    <w:rsid w:val="00FC04AB"/>
    <w:rsid w:val="00FC50E1"/>
    <w:rsid w:val="00FC693F"/>
    <w:rsid w:val="00FD037D"/>
    <w:rsid w:val="00FD13C0"/>
    <w:rsid w:val="00FD2A02"/>
    <w:rsid w:val="00FD4B51"/>
    <w:rsid w:val="00FD59A5"/>
    <w:rsid w:val="00FD622F"/>
    <w:rsid w:val="00FD6502"/>
    <w:rsid w:val="00FD7B16"/>
    <w:rsid w:val="00FE2236"/>
    <w:rsid w:val="00FE2331"/>
    <w:rsid w:val="00FE28A1"/>
    <w:rsid w:val="00FE3AEB"/>
    <w:rsid w:val="00FE48D6"/>
    <w:rsid w:val="00FE78B6"/>
    <w:rsid w:val="00FF1154"/>
    <w:rsid w:val="00FF188B"/>
    <w:rsid w:val="00FF22A6"/>
    <w:rsid w:val="00FF2EEB"/>
    <w:rsid w:val="00FF3E79"/>
    <w:rsid w:val="00FF45BB"/>
    <w:rsid w:val="00FF5F35"/>
    <w:rsid w:val="00FF77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2FA92"/>
  <w14:defaultImageDpi w14:val="300"/>
  <w15:docId w15:val="{F0B44772-4C58-4AC7-80EE-A3C21DE9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312"/>
    <w:pPr>
      <w:spacing w:before="200" w:after="0"/>
      <w:jc w:val="both"/>
      <w:outlineLvl w:val="1"/>
    </w:pPr>
    <w:rPr>
      <w:rFonts w:ascii="Arial Nova" w:hAnsi="Arial Nova"/>
    </w:rPr>
  </w:style>
  <w:style w:type="paragraph" w:styleId="Heading1">
    <w:name w:val="heading 1"/>
    <w:basedOn w:val="Normal"/>
    <w:next w:val="Normal"/>
    <w:link w:val="Heading1Char"/>
    <w:uiPriority w:val="9"/>
    <w:qFormat/>
    <w:rsid w:val="00FA269F"/>
    <w:pPr>
      <w:keepNext/>
      <w:keepLines/>
      <w:numPr>
        <w:numId w:val="20"/>
      </w:numPr>
      <w:spacing w:before="48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1B678A"/>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A269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B67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D62F1"/>
    <w:pPr>
      <w:spacing w:line="240" w:lineRule="auto"/>
    </w:pPr>
    <w:rPr>
      <w:bCs/>
      <w:i/>
      <w:color w:val="595959" w:themeColor="text1" w:themeTint="A6"/>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011F1"/>
    <w:rPr>
      <w:color w:val="0000FF" w:themeColor="hyperlink"/>
      <w:u w:val="single"/>
    </w:rPr>
  </w:style>
  <w:style w:type="character" w:styleId="UnresolvedMention">
    <w:name w:val="Unresolved Mention"/>
    <w:basedOn w:val="DefaultParagraphFont"/>
    <w:uiPriority w:val="99"/>
    <w:semiHidden/>
    <w:unhideWhenUsed/>
    <w:rsid w:val="00D011F1"/>
    <w:rPr>
      <w:color w:val="605E5C"/>
      <w:shd w:val="clear" w:color="auto" w:fill="E1DFDD"/>
    </w:rPr>
  </w:style>
  <w:style w:type="character" w:styleId="PageNumber">
    <w:name w:val="page number"/>
    <w:basedOn w:val="DefaultParagraphFont"/>
    <w:uiPriority w:val="99"/>
    <w:semiHidden/>
    <w:unhideWhenUsed/>
    <w:rsid w:val="007C6504"/>
  </w:style>
  <w:style w:type="paragraph" w:styleId="Revision">
    <w:name w:val="Revision"/>
    <w:hidden/>
    <w:uiPriority w:val="99"/>
    <w:semiHidden/>
    <w:rsid w:val="00E47608"/>
    <w:pPr>
      <w:spacing w:after="0" w:line="240" w:lineRule="auto"/>
    </w:pPr>
    <w:rPr>
      <w:rFonts w:ascii="Arial Nova" w:hAnsi="Arial Nova"/>
    </w:rPr>
  </w:style>
  <w:style w:type="paragraph" w:styleId="FootnoteText">
    <w:name w:val="footnote text"/>
    <w:basedOn w:val="Normal"/>
    <w:link w:val="FootnoteTextChar"/>
    <w:uiPriority w:val="99"/>
    <w:semiHidden/>
    <w:unhideWhenUsed/>
    <w:rsid w:val="00F1702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F17020"/>
    <w:rPr>
      <w:rFonts w:ascii="Arial Nova" w:hAnsi="Arial Nova"/>
      <w:sz w:val="20"/>
      <w:szCs w:val="20"/>
    </w:rPr>
  </w:style>
  <w:style w:type="character" w:styleId="FootnoteReference">
    <w:name w:val="footnote reference"/>
    <w:basedOn w:val="DefaultParagraphFont"/>
    <w:uiPriority w:val="99"/>
    <w:semiHidden/>
    <w:unhideWhenUsed/>
    <w:rsid w:val="00F17020"/>
    <w:rPr>
      <w:vertAlign w:val="superscript"/>
    </w:rPr>
  </w:style>
  <w:style w:type="paragraph" w:styleId="NormalWeb">
    <w:name w:val="Normal (Web)"/>
    <w:basedOn w:val="Normal"/>
    <w:uiPriority w:val="99"/>
    <w:semiHidden/>
    <w:unhideWhenUsed/>
    <w:rsid w:val="00504F7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F3E79"/>
    <w:rPr>
      <w:sz w:val="16"/>
      <w:szCs w:val="16"/>
    </w:rPr>
  </w:style>
  <w:style w:type="paragraph" w:styleId="CommentText">
    <w:name w:val="annotation text"/>
    <w:basedOn w:val="Normal"/>
    <w:link w:val="CommentTextChar"/>
    <w:uiPriority w:val="99"/>
    <w:unhideWhenUsed/>
    <w:rsid w:val="00FF3E79"/>
    <w:pPr>
      <w:spacing w:line="240" w:lineRule="auto"/>
    </w:pPr>
    <w:rPr>
      <w:sz w:val="20"/>
      <w:szCs w:val="20"/>
    </w:rPr>
  </w:style>
  <w:style w:type="character" w:customStyle="1" w:styleId="CommentTextChar">
    <w:name w:val="Comment Text Char"/>
    <w:basedOn w:val="DefaultParagraphFont"/>
    <w:link w:val="CommentText"/>
    <w:uiPriority w:val="99"/>
    <w:rsid w:val="00FF3E79"/>
    <w:rPr>
      <w:rFonts w:ascii="Arial Nova" w:hAnsi="Arial Nova"/>
      <w:sz w:val="20"/>
      <w:szCs w:val="20"/>
    </w:rPr>
  </w:style>
  <w:style w:type="paragraph" w:styleId="CommentSubject">
    <w:name w:val="annotation subject"/>
    <w:basedOn w:val="CommentText"/>
    <w:next w:val="CommentText"/>
    <w:link w:val="CommentSubjectChar"/>
    <w:uiPriority w:val="99"/>
    <w:semiHidden/>
    <w:unhideWhenUsed/>
    <w:rsid w:val="00FF3E79"/>
    <w:rPr>
      <w:b/>
      <w:bCs/>
    </w:rPr>
  </w:style>
  <w:style w:type="character" w:customStyle="1" w:styleId="CommentSubjectChar">
    <w:name w:val="Comment Subject Char"/>
    <w:basedOn w:val="CommentTextChar"/>
    <w:link w:val="CommentSubject"/>
    <w:uiPriority w:val="99"/>
    <w:semiHidden/>
    <w:rsid w:val="00FF3E79"/>
    <w:rPr>
      <w:rFonts w:ascii="Arial Nova" w:hAnsi="Arial Nov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unsaferguard.org/iatg/en/IATG-01.40-Glossary-terms-definitions-abbreviations-IATG-V.3.pdf" TargetMode="External"/><Relationship Id="rId13" Type="http://schemas.openxmlformats.org/officeDocument/2006/relationships/hyperlink" Target="https://disarmament.unoda.org/our-work/conventional-arms/small-arms-and-light-weapons/modular-small-arms-control-implementation-compendiu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armament.unoda.org/convarms/ammunition/iat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mvs-amat.gich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ublications.unoda.org/en-us/global-framework-for-through-life-conventional-ammunition-manageme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unsaferguard.org/self-assessment-tools" TargetMode="External"/><Relationship Id="rId1" Type="http://schemas.openxmlformats.org/officeDocument/2006/relationships/hyperlink" Target="https://eur-lex.europa.eu/eli/dec/2022/2275/oj/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aff92601-0975-473e-94e0-e0c36afcb9ea}" enabled="0" method="" siteId="{aff92601-0975-473e-94e0-e0c36afcb9ea}"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4086</Words>
  <Characters>22473</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King Benjamin</cp:lastModifiedBy>
  <cp:revision>3</cp:revision>
  <cp:lastPrinted>2026-04-28T10:57:00Z</cp:lastPrinted>
  <dcterms:created xsi:type="dcterms:W3CDTF">2026-05-04T13:02:00Z</dcterms:created>
  <dcterms:modified xsi:type="dcterms:W3CDTF">2026-05-28T14:35:00Z</dcterms:modified>
  <cp:category/>
</cp:coreProperties>
</file>